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AC" w:rsidRPr="001612A1" w:rsidRDefault="00DF76AC" w:rsidP="00DF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F76AC" w:rsidRPr="001612A1" w:rsidRDefault="00DF76AC" w:rsidP="00DF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76AC" w:rsidRPr="001612A1" w:rsidRDefault="00DF76AC" w:rsidP="00DF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F76AC" w:rsidRPr="001612A1" w:rsidRDefault="00DF76AC" w:rsidP="00DF76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DF76AC" w:rsidRPr="001612A1" w:rsidRDefault="00DF76AC" w:rsidP="00DF76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DF76AC" w:rsidRPr="001612A1" w:rsidRDefault="00DF76AC" w:rsidP="00DF76AC">
      <w:pPr>
        <w:rPr>
          <w:rFonts w:ascii="Times New Roman" w:hAnsi="Times New Roman" w:cs="Times New Roman"/>
          <w:sz w:val="28"/>
          <w:szCs w:val="28"/>
        </w:rPr>
      </w:pPr>
      <w:r w:rsidRPr="001612A1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девятая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DF76AC" w:rsidRPr="001612A1" w:rsidRDefault="00DF76AC" w:rsidP="00DF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F76AC" w:rsidRPr="0099014A" w:rsidRDefault="00DF76AC" w:rsidP="00DF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154</w:t>
      </w:r>
    </w:p>
    <w:p w:rsidR="00DF76AC" w:rsidRDefault="00DF76AC" w:rsidP="00DF76AC">
      <w:pPr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«Об исполнении бюджета МО «Казачье» за 2012 год»</w:t>
      </w:r>
    </w:p>
    <w:p w:rsidR="00DF76AC" w:rsidRDefault="00DF76AC" w:rsidP="00DF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финансиста администрации об исполнении бюджета за 2012 год</w:t>
      </w:r>
    </w:p>
    <w:p w:rsidR="00DF76AC" w:rsidRDefault="00DF76AC" w:rsidP="00DF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DF76AC" w:rsidRPr="00BF6E64" w:rsidRDefault="00DF76AC" w:rsidP="00DF7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Принять испол</w:t>
      </w:r>
      <w:r>
        <w:rPr>
          <w:rFonts w:ascii="Times New Roman" w:hAnsi="Times New Roman" w:cs="Times New Roman"/>
          <w:sz w:val="28"/>
          <w:szCs w:val="28"/>
        </w:rPr>
        <w:t>нение бюджета за 12 месяцев 2012</w:t>
      </w:r>
      <w:r w:rsidRPr="00BF6E64">
        <w:rPr>
          <w:rFonts w:ascii="Times New Roman" w:hAnsi="Times New Roman" w:cs="Times New Roman"/>
          <w:sz w:val="28"/>
          <w:szCs w:val="28"/>
        </w:rPr>
        <w:t xml:space="preserve"> года (приложение 1,2 к настоящему решению).</w:t>
      </w:r>
    </w:p>
    <w:p w:rsidR="00DF76AC" w:rsidRPr="00BF6E64" w:rsidRDefault="00DF76AC" w:rsidP="00DF7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DF76AC" w:rsidRPr="00BF6E64" w:rsidRDefault="00DF76AC" w:rsidP="00DF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6AC" w:rsidRPr="00BF6E64" w:rsidRDefault="00DF76AC" w:rsidP="00DF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6AC" w:rsidRPr="00BF6E64" w:rsidRDefault="00DF76AC" w:rsidP="00DF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6AC" w:rsidRPr="00BF6E64" w:rsidRDefault="00DF76AC" w:rsidP="00DF76AC">
      <w:pPr>
        <w:jc w:val="right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DF76AC" w:rsidRPr="00BF6E64" w:rsidRDefault="00DF76AC" w:rsidP="00DF76AC">
      <w:pPr>
        <w:rPr>
          <w:rFonts w:ascii="Times New Roman" w:hAnsi="Times New Roman" w:cs="Times New Roman"/>
          <w:sz w:val="28"/>
          <w:szCs w:val="28"/>
        </w:rPr>
      </w:pPr>
    </w:p>
    <w:p w:rsidR="00DF76AC" w:rsidRPr="001612A1" w:rsidRDefault="00DF76AC" w:rsidP="00DF76AC">
      <w:pPr>
        <w:rPr>
          <w:rFonts w:ascii="Times New Roman" w:hAnsi="Times New Roman" w:cs="Times New Roman"/>
          <w:sz w:val="28"/>
          <w:szCs w:val="28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rPr>
          <w:b/>
          <w:sz w:val="22"/>
          <w:szCs w:val="22"/>
        </w:rPr>
      </w:pPr>
    </w:p>
    <w:p w:rsidR="00DF76AC" w:rsidRPr="00BF6E64" w:rsidRDefault="00DF76AC" w:rsidP="00DF76AC"/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Default="00DF76AC" w:rsidP="00DF76AC">
      <w:pPr>
        <w:pStyle w:val="2"/>
        <w:jc w:val="center"/>
        <w:rPr>
          <w:b/>
          <w:sz w:val="22"/>
          <w:szCs w:val="22"/>
        </w:rPr>
      </w:pPr>
    </w:p>
    <w:p w:rsidR="00DF76AC" w:rsidRPr="00BF6E64" w:rsidRDefault="00DF76AC" w:rsidP="00DF76AC">
      <w:pPr>
        <w:pStyle w:val="2"/>
        <w:jc w:val="center"/>
        <w:rPr>
          <w:b/>
          <w:szCs w:val="24"/>
        </w:rPr>
      </w:pPr>
      <w:r w:rsidRPr="00BF6E64">
        <w:rPr>
          <w:b/>
          <w:szCs w:val="24"/>
        </w:rPr>
        <w:t>Пояснительная записка</w:t>
      </w:r>
    </w:p>
    <w:p w:rsidR="00DF76AC" w:rsidRPr="00BF6E64" w:rsidRDefault="00DF76AC" w:rsidP="00DF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64">
        <w:rPr>
          <w:rFonts w:ascii="Times New Roman" w:hAnsi="Times New Roman" w:cs="Times New Roman"/>
          <w:b/>
          <w:sz w:val="24"/>
          <w:szCs w:val="24"/>
        </w:rPr>
        <w:t>к отчету «Об исполнении бюджета МО «Казачье» за  2012 год»</w:t>
      </w:r>
    </w:p>
    <w:p w:rsidR="00DF76AC" w:rsidRPr="00BF6E64" w:rsidRDefault="00DF76AC" w:rsidP="00DF76AC">
      <w:pPr>
        <w:rPr>
          <w:rFonts w:ascii="Times New Roman" w:hAnsi="Times New Roman" w:cs="Times New Roman"/>
          <w:sz w:val="24"/>
          <w:szCs w:val="24"/>
        </w:rPr>
      </w:pPr>
    </w:p>
    <w:p w:rsidR="00DF76AC" w:rsidRPr="00BF6E64" w:rsidRDefault="00DF76AC" w:rsidP="00DF7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 xml:space="preserve">За отчетный период исполнение бюджета МО «Казачье» осуществлялось в соответствии с решением Думы № 119 от 28 декабря 2011 года «О бюджете МО «Казачье» на 2012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BF6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6E6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DF76AC" w:rsidRPr="00BF6E64" w:rsidRDefault="00DF76AC" w:rsidP="00DF76AC">
      <w:pPr>
        <w:pStyle w:val="3"/>
        <w:jc w:val="center"/>
        <w:rPr>
          <w:b/>
          <w:sz w:val="24"/>
          <w:szCs w:val="24"/>
        </w:rPr>
      </w:pPr>
    </w:p>
    <w:p w:rsidR="00DF76AC" w:rsidRPr="00BF6E64" w:rsidRDefault="00DF76AC" w:rsidP="00DF76AC">
      <w:pPr>
        <w:pStyle w:val="3"/>
        <w:jc w:val="center"/>
        <w:rPr>
          <w:b/>
          <w:sz w:val="24"/>
          <w:szCs w:val="24"/>
        </w:rPr>
      </w:pPr>
    </w:p>
    <w:p w:rsidR="00DF76AC" w:rsidRPr="00BF6E64" w:rsidRDefault="00DF76AC" w:rsidP="00DF76AC">
      <w:pPr>
        <w:pStyle w:val="3"/>
        <w:jc w:val="center"/>
        <w:rPr>
          <w:b/>
          <w:sz w:val="24"/>
          <w:szCs w:val="24"/>
        </w:rPr>
      </w:pPr>
      <w:r w:rsidRPr="00BF6E64">
        <w:rPr>
          <w:b/>
          <w:sz w:val="24"/>
          <w:szCs w:val="24"/>
        </w:rPr>
        <w:t>ДОХОДЫ</w:t>
      </w:r>
    </w:p>
    <w:p w:rsidR="00DF76AC" w:rsidRPr="00BF6E64" w:rsidRDefault="00DF76AC" w:rsidP="00DF76AC">
      <w:pPr>
        <w:pStyle w:val="a3"/>
        <w:jc w:val="both"/>
        <w:rPr>
          <w:szCs w:val="24"/>
        </w:rPr>
      </w:pPr>
    </w:p>
    <w:p w:rsidR="00DF76AC" w:rsidRPr="00BF6E64" w:rsidRDefault="00DF76AC" w:rsidP="00DF76AC">
      <w:pPr>
        <w:pStyle w:val="a3"/>
        <w:jc w:val="both"/>
        <w:rPr>
          <w:szCs w:val="24"/>
        </w:rPr>
      </w:pPr>
      <w:r w:rsidRPr="00BF6E64">
        <w:rPr>
          <w:szCs w:val="24"/>
        </w:rPr>
        <w:t xml:space="preserve">         Исполнение  бюджета МО «Казачье» за 12 месяца 2012 года составило по доходам 6309,1 тыс</w:t>
      </w:r>
      <w:proofErr w:type="gramStart"/>
      <w:r w:rsidRPr="00BF6E64">
        <w:rPr>
          <w:szCs w:val="24"/>
        </w:rPr>
        <w:t>.р</w:t>
      </w:r>
      <w:proofErr w:type="gramEnd"/>
      <w:r w:rsidRPr="00BF6E64">
        <w:rPr>
          <w:szCs w:val="24"/>
        </w:rPr>
        <w:t>ублей  или 97,5 % к годовому назначению.</w:t>
      </w:r>
    </w:p>
    <w:p w:rsidR="00DF76AC" w:rsidRPr="00BF6E64" w:rsidRDefault="00DF76AC" w:rsidP="00DF76AC">
      <w:pPr>
        <w:pStyle w:val="a3"/>
        <w:jc w:val="both"/>
        <w:rPr>
          <w:szCs w:val="24"/>
        </w:rPr>
      </w:pPr>
      <w:r w:rsidRPr="00BF6E64">
        <w:rPr>
          <w:szCs w:val="24"/>
        </w:rPr>
        <w:t xml:space="preserve">        В виде финансовой помощи в   бюджет поступило 5185,9 тыс. рублей, в том числе: </w:t>
      </w:r>
    </w:p>
    <w:p w:rsidR="00DF76AC" w:rsidRPr="00BF6E64" w:rsidRDefault="00DF76AC" w:rsidP="00DF76AC">
      <w:pPr>
        <w:pStyle w:val="a3"/>
        <w:ind w:firstLine="708"/>
        <w:jc w:val="both"/>
        <w:rPr>
          <w:szCs w:val="24"/>
        </w:rPr>
      </w:pPr>
      <w:r w:rsidRPr="00BF6E64">
        <w:rPr>
          <w:szCs w:val="24"/>
        </w:rPr>
        <w:t>д</w:t>
      </w:r>
      <w:r w:rsidRPr="00BF6E64">
        <w:rPr>
          <w:b/>
          <w:szCs w:val="24"/>
        </w:rPr>
        <w:t>отация  на выравнивание уровня бюджетной обеспеченности</w:t>
      </w:r>
      <w:r w:rsidRPr="00BF6E64">
        <w:rPr>
          <w:szCs w:val="24"/>
        </w:rPr>
        <w:t xml:space="preserve"> в объеме 1364 тыс. рублей,</w:t>
      </w:r>
    </w:p>
    <w:p w:rsidR="00DF76AC" w:rsidRPr="00BF6E64" w:rsidRDefault="00DF76AC" w:rsidP="00DF76AC">
      <w:pPr>
        <w:pStyle w:val="a3"/>
        <w:ind w:firstLine="708"/>
        <w:jc w:val="both"/>
        <w:rPr>
          <w:szCs w:val="24"/>
        </w:rPr>
      </w:pPr>
      <w:r w:rsidRPr="00BF6E64">
        <w:rPr>
          <w:szCs w:val="24"/>
        </w:rPr>
        <w:t>д</w:t>
      </w:r>
      <w:r w:rsidRPr="00BF6E64">
        <w:rPr>
          <w:b/>
          <w:szCs w:val="24"/>
        </w:rPr>
        <w:t xml:space="preserve">отация  на </w:t>
      </w:r>
      <w:proofErr w:type="spellStart"/>
      <w:proofErr w:type="gramStart"/>
      <w:r w:rsidRPr="00BF6E64">
        <w:rPr>
          <w:b/>
          <w:szCs w:val="24"/>
        </w:rPr>
        <w:t>на</w:t>
      </w:r>
      <w:proofErr w:type="spellEnd"/>
      <w:proofErr w:type="gramEnd"/>
      <w:r w:rsidRPr="00BF6E64">
        <w:rPr>
          <w:b/>
          <w:szCs w:val="24"/>
        </w:rPr>
        <w:t xml:space="preserve"> сбалансированность бюджета</w:t>
      </w:r>
      <w:r w:rsidRPr="00BF6E64">
        <w:rPr>
          <w:szCs w:val="24"/>
        </w:rPr>
        <w:t xml:space="preserve"> в объеме 957 тыс. рублей,</w:t>
      </w:r>
    </w:p>
    <w:p w:rsidR="00DF76AC" w:rsidRPr="00BF6E64" w:rsidRDefault="00DF76AC" w:rsidP="00DF76AC">
      <w:pPr>
        <w:pStyle w:val="a3"/>
        <w:jc w:val="both"/>
        <w:rPr>
          <w:szCs w:val="24"/>
        </w:rPr>
      </w:pPr>
      <w:r w:rsidRPr="00BF6E64">
        <w:rPr>
          <w:szCs w:val="24"/>
        </w:rPr>
        <w:tab/>
      </w:r>
      <w:r w:rsidRPr="00BF6E64">
        <w:rPr>
          <w:b/>
          <w:szCs w:val="24"/>
        </w:rPr>
        <w:t xml:space="preserve">субсидии </w:t>
      </w:r>
      <w:r w:rsidRPr="00BF6E64">
        <w:rPr>
          <w:szCs w:val="24"/>
        </w:rPr>
        <w:t>– 2077,9 тыс. рублей (в т.ч. на заработную плату – 674,0 тыс</w:t>
      </w:r>
      <w:proofErr w:type="gramStart"/>
      <w:r w:rsidRPr="00BF6E64">
        <w:rPr>
          <w:szCs w:val="24"/>
        </w:rPr>
        <w:t>.р</w:t>
      </w:r>
      <w:proofErr w:type="gramEnd"/>
      <w:r w:rsidRPr="00BF6E64">
        <w:rPr>
          <w:szCs w:val="24"/>
        </w:rPr>
        <w:t>уб., ДЦП «Развитие автомобильных дорог» - 56,0 тыс.руб., «Народные инициативы» - 583,0 тыс.руб., Территориальное планирование – 764,9 тыс.руб.);</w:t>
      </w:r>
    </w:p>
    <w:p w:rsidR="00DF76AC" w:rsidRPr="00BF6E64" w:rsidRDefault="00DF76AC" w:rsidP="00DF76AC">
      <w:pPr>
        <w:pStyle w:val="a3"/>
        <w:jc w:val="both"/>
        <w:rPr>
          <w:szCs w:val="24"/>
        </w:rPr>
      </w:pPr>
      <w:r w:rsidRPr="00BF6E64">
        <w:rPr>
          <w:szCs w:val="24"/>
        </w:rPr>
        <w:tab/>
      </w:r>
      <w:r w:rsidRPr="00BF6E64">
        <w:rPr>
          <w:b/>
          <w:szCs w:val="24"/>
        </w:rPr>
        <w:t>субвенций ВУС</w:t>
      </w:r>
      <w:r w:rsidRPr="00BF6E64">
        <w:rPr>
          <w:szCs w:val="24"/>
        </w:rPr>
        <w:t xml:space="preserve"> – 69,9 тыс. рублей</w:t>
      </w:r>
    </w:p>
    <w:p w:rsidR="00DF76AC" w:rsidRPr="00BF6E64" w:rsidRDefault="00DF76AC" w:rsidP="00DF76AC">
      <w:pPr>
        <w:pStyle w:val="a3"/>
        <w:ind w:firstLine="708"/>
        <w:jc w:val="both"/>
        <w:rPr>
          <w:szCs w:val="24"/>
        </w:rPr>
      </w:pPr>
      <w:r w:rsidRPr="00BF6E64">
        <w:rPr>
          <w:b/>
          <w:szCs w:val="24"/>
        </w:rPr>
        <w:t xml:space="preserve">субвенция на </w:t>
      </w:r>
      <w:proofErr w:type="spellStart"/>
      <w:r w:rsidRPr="00BF6E64">
        <w:rPr>
          <w:b/>
          <w:szCs w:val="24"/>
        </w:rPr>
        <w:t>вып</w:t>
      </w:r>
      <w:proofErr w:type="gramStart"/>
      <w:r w:rsidRPr="00BF6E64">
        <w:rPr>
          <w:b/>
          <w:szCs w:val="24"/>
        </w:rPr>
        <w:t>.г</w:t>
      </w:r>
      <w:proofErr w:type="gramEnd"/>
      <w:r w:rsidRPr="00BF6E64">
        <w:rPr>
          <w:b/>
          <w:szCs w:val="24"/>
        </w:rPr>
        <w:t>ос.полн</w:t>
      </w:r>
      <w:proofErr w:type="spellEnd"/>
      <w:r w:rsidRPr="00BF6E64">
        <w:rPr>
          <w:szCs w:val="24"/>
        </w:rPr>
        <w:t>. – 27,1т.р.</w:t>
      </w:r>
    </w:p>
    <w:p w:rsidR="00DF76AC" w:rsidRPr="00BF6E64" w:rsidRDefault="00DF76AC" w:rsidP="00DF76AC">
      <w:pPr>
        <w:pStyle w:val="a3"/>
        <w:jc w:val="both"/>
        <w:rPr>
          <w:szCs w:val="24"/>
        </w:rPr>
      </w:pPr>
      <w:r w:rsidRPr="00BF6E64">
        <w:rPr>
          <w:szCs w:val="24"/>
        </w:rPr>
        <w:t xml:space="preserve">Объем </w:t>
      </w:r>
      <w:r w:rsidRPr="00BF6E64">
        <w:rPr>
          <w:b/>
          <w:szCs w:val="24"/>
        </w:rPr>
        <w:t>собственных доходов</w:t>
      </w:r>
      <w:r w:rsidRPr="00BF6E64">
        <w:rPr>
          <w:szCs w:val="24"/>
        </w:rPr>
        <w:t xml:space="preserve"> за отчетный период составил 1120,1 тыс</w:t>
      </w:r>
      <w:proofErr w:type="gramStart"/>
      <w:r w:rsidRPr="00BF6E64">
        <w:rPr>
          <w:szCs w:val="24"/>
        </w:rPr>
        <w:t>.р</w:t>
      </w:r>
      <w:proofErr w:type="gramEnd"/>
      <w:r w:rsidRPr="00BF6E64">
        <w:rPr>
          <w:szCs w:val="24"/>
        </w:rPr>
        <w:t>ублей или 87,6% от планового назначения.</w:t>
      </w:r>
    </w:p>
    <w:p w:rsidR="00DF76AC" w:rsidRPr="00BF6E64" w:rsidRDefault="00DF76AC" w:rsidP="00DF76AC">
      <w:pPr>
        <w:pStyle w:val="21"/>
        <w:rPr>
          <w:szCs w:val="24"/>
        </w:rPr>
      </w:pPr>
      <w:r w:rsidRPr="00BF6E64">
        <w:rPr>
          <w:szCs w:val="24"/>
        </w:rPr>
        <w:t xml:space="preserve">           В составе доходов платежи по </w:t>
      </w:r>
      <w:r w:rsidRPr="00BF6E64">
        <w:rPr>
          <w:b/>
          <w:szCs w:val="24"/>
        </w:rPr>
        <w:t xml:space="preserve">налогу на </w:t>
      </w:r>
      <w:proofErr w:type="gramStart"/>
      <w:r w:rsidRPr="00BF6E64">
        <w:rPr>
          <w:b/>
          <w:szCs w:val="24"/>
        </w:rPr>
        <w:t>доходы физических лиц</w:t>
      </w:r>
      <w:r w:rsidRPr="00BF6E64">
        <w:rPr>
          <w:szCs w:val="24"/>
        </w:rPr>
        <w:t>, зачисляемые в доход  бюджета  поступили</w:t>
      </w:r>
      <w:proofErr w:type="gramEnd"/>
      <w:r w:rsidRPr="00BF6E64">
        <w:rPr>
          <w:szCs w:val="24"/>
        </w:rPr>
        <w:t xml:space="preserve"> в размере 500,4 тыс. рублей, что составило 100 % к годовому плану и 45 % от всей суммы собственных доходов. </w:t>
      </w:r>
    </w:p>
    <w:p w:rsidR="00DF76AC" w:rsidRPr="00BF6E64" w:rsidRDefault="00DF76AC" w:rsidP="00DF76AC">
      <w:pPr>
        <w:jc w:val="both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b/>
          <w:sz w:val="24"/>
          <w:szCs w:val="24"/>
        </w:rPr>
        <w:t xml:space="preserve">      Налог на имущество </w:t>
      </w:r>
      <w:r w:rsidRPr="00BF6E64">
        <w:rPr>
          <w:rFonts w:ascii="Times New Roman" w:hAnsi="Times New Roman" w:cs="Times New Roman"/>
          <w:sz w:val="24"/>
          <w:szCs w:val="24"/>
        </w:rPr>
        <w:t xml:space="preserve">поступил в сумме 507,3 </w:t>
      </w:r>
      <w:proofErr w:type="spellStart"/>
      <w:r w:rsidRPr="00BF6E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6E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6E6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6E64">
        <w:rPr>
          <w:rFonts w:ascii="Times New Roman" w:hAnsi="Times New Roman" w:cs="Times New Roman"/>
          <w:sz w:val="24"/>
          <w:szCs w:val="24"/>
        </w:rPr>
        <w:t xml:space="preserve"> (98,9%). </w:t>
      </w:r>
    </w:p>
    <w:p w:rsidR="00DF76AC" w:rsidRPr="00BF6E64" w:rsidRDefault="00DF76AC" w:rsidP="00DF76AC">
      <w:pPr>
        <w:ind w:firstLineChars="141" w:firstLine="338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 xml:space="preserve"> </w:t>
      </w:r>
      <w:r w:rsidRPr="00BF6E64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</w:t>
      </w:r>
      <w:r w:rsidRPr="00BF6E64">
        <w:rPr>
          <w:rFonts w:ascii="Times New Roman" w:hAnsi="Times New Roman" w:cs="Times New Roman"/>
          <w:sz w:val="24"/>
          <w:szCs w:val="24"/>
        </w:rPr>
        <w:t xml:space="preserve"> поступили в размере 43,1 тыс. рублей.</w:t>
      </w:r>
    </w:p>
    <w:p w:rsidR="00DF76AC" w:rsidRPr="00BF6E64" w:rsidRDefault="00DF76AC" w:rsidP="00DF76AC">
      <w:pPr>
        <w:ind w:firstLineChars="141" w:firstLine="338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>Прочие неналоговые доходы поступили в размере 59,7 тыс</w:t>
      </w:r>
      <w:proofErr w:type="gramStart"/>
      <w:r w:rsidRPr="00BF6E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6E64">
        <w:rPr>
          <w:rFonts w:ascii="Times New Roman" w:hAnsi="Times New Roman" w:cs="Times New Roman"/>
          <w:sz w:val="24"/>
          <w:szCs w:val="24"/>
        </w:rPr>
        <w:t>ублей, доходы от продажи земельных участков 9,5 тыс.рублей, доходы от оказания услуг 4,4 тыс.рублей.</w:t>
      </w:r>
    </w:p>
    <w:p w:rsidR="00DF76AC" w:rsidRPr="00BF6E64" w:rsidRDefault="00DF76AC" w:rsidP="00DF76AC">
      <w:pPr>
        <w:pStyle w:val="4"/>
        <w:jc w:val="center"/>
        <w:rPr>
          <w:szCs w:val="24"/>
        </w:rPr>
      </w:pPr>
    </w:p>
    <w:p w:rsidR="00DF76AC" w:rsidRPr="00BF6E64" w:rsidRDefault="00DF76AC" w:rsidP="00DF76AC">
      <w:pPr>
        <w:pStyle w:val="4"/>
        <w:jc w:val="center"/>
        <w:rPr>
          <w:szCs w:val="24"/>
        </w:rPr>
      </w:pPr>
      <w:r w:rsidRPr="00BF6E64">
        <w:rPr>
          <w:szCs w:val="24"/>
        </w:rPr>
        <w:t>РАСХОДЫ</w:t>
      </w:r>
    </w:p>
    <w:p w:rsidR="00DF76AC" w:rsidRPr="00BF6E64" w:rsidRDefault="00DF76AC" w:rsidP="00DF76AC">
      <w:pPr>
        <w:rPr>
          <w:rFonts w:ascii="Times New Roman" w:hAnsi="Times New Roman" w:cs="Times New Roman"/>
          <w:sz w:val="24"/>
          <w:szCs w:val="24"/>
        </w:rPr>
      </w:pPr>
    </w:p>
    <w:p w:rsidR="00DF76AC" w:rsidRPr="00BF6E64" w:rsidRDefault="00DF76AC" w:rsidP="00DF76AC">
      <w:pPr>
        <w:pStyle w:val="21"/>
        <w:rPr>
          <w:szCs w:val="24"/>
        </w:rPr>
      </w:pPr>
      <w:r w:rsidRPr="00BF6E64">
        <w:rPr>
          <w:b/>
          <w:szCs w:val="24"/>
        </w:rPr>
        <w:t xml:space="preserve">      </w:t>
      </w:r>
      <w:r w:rsidRPr="00BF6E64">
        <w:rPr>
          <w:szCs w:val="24"/>
        </w:rPr>
        <w:t xml:space="preserve"> За  отчетный период на 01.01.2013 года за счет всех доходов произведено финансирование на сумму 6329,7 тыс. рублей или 96,9 % от объема запланированных расходов.</w:t>
      </w:r>
    </w:p>
    <w:p w:rsidR="00DF76AC" w:rsidRPr="00BF6E64" w:rsidRDefault="00DF76AC" w:rsidP="00DF76AC">
      <w:pPr>
        <w:pStyle w:val="21"/>
        <w:tabs>
          <w:tab w:val="left" w:pos="1776"/>
        </w:tabs>
        <w:rPr>
          <w:szCs w:val="24"/>
        </w:rPr>
      </w:pPr>
      <w:r w:rsidRPr="00BF6E64">
        <w:rPr>
          <w:szCs w:val="24"/>
        </w:rPr>
        <w:t xml:space="preserve">        Финансирование расходов по разделу </w:t>
      </w:r>
      <w:r w:rsidRPr="00BF6E64">
        <w:rPr>
          <w:b/>
          <w:szCs w:val="24"/>
        </w:rPr>
        <w:t>«Общегосударственные вопросы»</w:t>
      </w:r>
      <w:r w:rsidRPr="00BF6E64">
        <w:rPr>
          <w:szCs w:val="24"/>
        </w:rPr>
        <w:t xml:space="preserve"> составило 3513,2 тыс. рублей или 95,3% к плану. </w:t>
      </w:r>
      <w:r w:rsidRPr="00BF6E64">
        <w:rPr>
          <w:color w:val="FF0000"/>
          <w:szCs w:val="24"/>
        </w:rPr>
        <w:t xml:space="preserve">На выплату заработной платы и начислений на нее </w:t>
      </w:r>
      <w:r w:rsidRPr="00BF6E64">
        <w:rPr>
          <w:color w:val="FF0000"/>
          <w:szCs w:val="24"/>
        </w:rPr>
        <w:lastRenderedPageBreak/>
        <w:t>направлено 2690,1 тыс. рублей (осталась невыплаченной заработная плата за декабрь70,2 тыс</w:t>
      </w:r>
      <w:proofErr w:type="gramStart"/>
      <w:r w:rsidRPr="00BF6E64">
        <w:rPr>
          <w:color w:val="FF0000"/>
          <w:szCs w:val="24"/>
        </w:rPr>
        <w:t>.р</w:t>
      </w:r>
      <w:proofErr w:type="gramEnd"/>
      <w:r w:rsidRPr="00BF6E64">
        <w:rPr>
          <w:color w:val="FF0000"/>
          <w:szCs w:val="24"/>
        </w:rPr>
        <w:t>уб. ).</w:t>
      </w:r>
    </w:p>
    <w:p w:rsidR="00DF76AC" w:rsidRPr="00BF6E64" w:rsidRDefault="00DF76AC" w:rsidP="00DF76AC">
      <w:pPr>
        <w:pStyle w:val="21"/>
        <w:rPr>
          <w:szCs w:val="24"/>
        </w:rPr>
      </w:pPr>
      <w:r w:rsidRPr="00BF6E64">
        <w:rPr>
          <w:szCs w:val="24"/>
        </w:rPr>
        <w:t xml:space="preserve"> На другие расходы направлено 823,1 тыс. рублей, из них на оплату  ГСМ, </w:t>
      </w:r>
      <w:proofErr w:type="spellStart"/>
      <w:r w:rsidRPr="00BF6E64">
        <w:rPr>
          <w:szCs w:val="24"/>
        </w:rPr>
        <w:t>зап</w:t>
      </w:r>
      <w:proofErr w:type="gramStart"/>
      <w:r w:rsidRPr="00BF6E64">
        <w:rPr>
          <w:szCs w:val="24"/>
        </w:rPr>
        <w:t>.ч</w:t>
      </w:r>
      <w:proofErr w:type="gramEnd"/>
      <w:r w:rsidRPr="00BF6E64">
        <w:rPr>
          <w:szCs w:val="24"/>
        </w:rPr>
        <w:t>асти</w:t>
      </w:r>
      <w:proofErr w:type="spellEnd"/>
      <w:r w:rsidRPr="00BF6E64">
        <w:rPr>
          <w:szCs w:val="24"/>
        </w:rPr>
        <w:t xml:space="preserve"> к автомобилю, канцтовары – 180,5 тыс. рублей, </w:t>
      </w:r>
      <w:proofErr w:type="spellStart"/>
      <w:r w:rsidRPr="00BF6E64">
        <w:rPr>
          <w:szCs w:val="24"/>
        </w:rPr>
        <w:t>эл.энергия</w:t>
      </w:r>
      <w:proofErr w:type="spellEnd"/>
      <w:r w:rsidRPr="00BF6E64">
        <w:rPr>
          <w:szCs w:val="24"/>
        </w:rPr>
        <w:t xml:space="preserve"> 309,2 тыс. рублей, услуги связи – 3 тыс.р., оплата арендной платы ООО «Фирма «Колос» - 107,9 тыс.руб.и др.</w:t>
      </w:r>
    </w:p>
    <w:p w:rsidR="00DF76AC" w:rsidRPr="00BF6E64" w:rsidRDefault="00DF76AC" w:rsidP="00DF76AC">
      <w:pPr>
        <w:pStyle w:val="21"/>
        <w:rPr>
          <w:szCs w:val="24"/>
        </w:rPr>
      </w:pPr>
      <w:r w:rsidRPr="00BF6E64">
        <w:rPr>
          <w:szCs w:val="24"/>
        </w:rPr>
        <w:t>В 2012 году администрацией МО «Казачье» было произведено расходов по ДЦП «Развитие автомобильных дорог» на сумму 86,0 тыс.рублей (отремонтирована дорога по ул. Больничная с</w:t>
      </w:r>
      <w:proofErr w:type="gramStart"/>
      <w:r w:rsidRPr="00BF6E64">
        <w:rPr>
          <w:szCs w:val="24"/>
        </w:rPr>
        <w:t>.К</w:t>
      </w:r>
      <w:proofErr w:type="gramEnd"/>
      <w:r w:rsidRPr="00BF6E64">
        <w:rPr>
          <w:szCs w:val="24"/>
        </w:rPr>
        <w:t xml:space="preserve">азачье), по ДЦП «Народные инициативы» 649,7 тыс.рублей (приобретены детские уличные </w:t>
      </w:r>
      <w:proofErr w:type="spellStart"/>
      <w:r w:rsidRPr="00BF6E64">
        <w:rPr>
          <w:szCs w:val="24"/>
        </w:rPr>
        <w:t>тренаженры</w:t>
      </w:r>
      <w:proofErr w:type="spellEnd"/>
      <w:r w:rsidRPr="00BF6E64">
        <w:rPr>
          <w:szCs w:val="24"/>
        </w:rPr>
        <w:t>, произведен ремонт проводки в ДК д.Логанова, произведено огораживание кладбища в д.Логанова, реконструирована водокачка д.Логанова). Произведено финансирование по формированию генерального плана МО «Казачье» 805,2 тыс</w:t>
      </w:r>
      <w:proofErr w:type="gramStart"/>
      <w:r w:rsidRPr="00BF6E64">
        <w:rPr>
          <w:szCs w:val="24"/>
        </w:rPr>
        <w:t>.р</w:t>
      </w:r>
      <w:proofErr w:type="gramEnd"/>
      <w:r w:rsidRPr="00BF6E64">
        <w:rPr>
          <w:szCs w:val="24"/>
        </w:rPr>
        <w:t>ублей.</w:t>
      </w:r>
    </w:p>
    <w:p w:rsidR="00DF76AC" w:rsidRPr="00BF6E64" w:rsidRDefault="00DF76AC" w:rsidP="00DF76AC">
      <w:pPr>
        <w:pStyle w:val="21"/>
        <w:rPr>
          <w:szCs w:val="24"/>
        </w:rPr>
      </w:pPr>
      <w:r w:rsidRPr="00BF6E64">
        <w:rPr>
          <w:szCs w:val="24"/>
        </w:rPr>
        <w:t xml:space="preserve">         За отчетный период по разделу </w:t>
      </w:r>
      <w:r w:rsidRPr="00BF6E64">
        <w:rPr>
          <w:b/>
          <w:szCs w:val="24"/>
        </w:rPr>
        <w:t>«Культура»</w:t>
      </w:r>
      <w:r w:rsidRPr="00BF6E64">
        <w:rPr>
          <w:szCs w:val="24"/>
        </w:rPr>
        <w:t xml:space="preserve"> было профинансировано 1178,2 т</w:t>
      </w:r>
      <w:proofErr w:type="gramStart"/>
      <w:r w:rsidRPr="00BF6E64">
        <w:rPr>
          <w:szCs w:val="24"/>
        </w:rPr>
        <w:t>.р</w:t>
      </w:r>
      <w:proofErr w:type="gramEnd"/>
      <w:r w:rsidRPr="00BF6E64">
        <w:rPr>
          <w:szCs w:val="24"/>
        </w:rPr>
        <w:t xml:space="preserve">ублей (невыплаченная </w:t>
      </w:r>
      <w:proofErr w:type="spellStart"/>
      <w:r w:rsidRPr="00BF6E64">
        <w:rPr>
          <w:szCs w:val="24"/>
        </w:rPr>
        <w:t>з</w:t>
      </w:r>
      <w:proofErr w:type="spellEnd"/>
      <w:r w:rsidRPr="00BF6E64">
        <w:rPr>
          <w:szCs w:val="24"/>
        </w:rPr>
        <w:t>/</w:t>
      </w:r>
      <w:proofErr w:type="spellStart"/>
      <w:r w:rsidRPr="00BF6E64">
        <w:rPr>
          <w:szCs w:val="24"/>
        </w:rPr>
        <w:t>п</w:t>
      </w:r>
      <w:proofErr w:type="spellEnd"/>
      <w:r w:rsidRPr="00BF6E64">
        <w:rPr>
          <w:szCs w:val="24"/>
        </w:rPr>
        <w:t xml:space="preserve"> работникам культуры за декабрь 38,1тыс.руб.).</w:t>
      </w:r>
    </w:p>
    <w:p w:rsidR="00DF76AC" w:rsidRPr="00BF6E64" w:rsidRDefault="00DF76AC" w:rsidP="00DF76AC">
      <w:pPr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>Финансирование расходов по разделу «Национальная оборона» составило 69,9 т.р.</w:t>
      </w:r>
    </w:p>
    <w:p w:rsidR="00DF76AC" w:rsidRPr="00BF6E64" w:rsidRDefault="00DF76AC" w:rsidP="00DF7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 xml:space="preserve">        Финансирование расходов по разделу «Осуществление переданных </w:t>
      </w:r>
      <w:proofErr w:type="spellStart"/>
      <w:r w:rsidRPr="00BF6E6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F6E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6E64">
        <w:rPr>
          <w:rFonts w:ascii="Times New Roman" w:hAnsi="Times New Roman" w:cs="Times New Roman"/>
          <w:sz w:val="24"/>
          <w:szCs w:val="24"/>
        </w:rPr>
        <w:t>олномочий</w:t>
      </w:r>
      <w:proofErr w:type="spellEnd"/>
      <w:r w:rsidRPr="00BF6E64">
        <w:rPr>
          <w:rFonts w:ascii="Times New Roman" w:hAnsi="Times New Roman" w:cs="Times New Roman"/>
          <w:sz w:val="24"/>
          <w:szCs w:val="24"/>
        </w:rPr>
        <w:t>» составило 27,1 т.р.</w:t>
      </w:r>
    </w:p>
    <w:p w:rsidR="00000000" w:rsidRDefault="00DF76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AC"/>
    <w:rsid w:val="00D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76A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F76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F76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6A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F76A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F76A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DF76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76A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F7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F76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2013-06-13T06:07:00Z</dcterms:created>
  <dcterms:modified xsi:type="dcterms:W3CDTF">2013-06-13T06:07:00Z</dcterms:modified>
</cp:coreProperties>
</file>