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9D" w:rsidRDefault="008E509D" w:rsidP="008E509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09.01.2018г.  №1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 xml:space="preserve">РАСПОРЯЖЕНИЕ </w:t>
      </w:r>
    </w:p>
    <w:p w:rsidR="008E509D" w:rsidRDefault="008E509D" w:rsidP="008E509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E509D" w:rsidRDefault="008E509D" w:rsidP="008E50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УЧЕТНОЙ ПОЛИТИКЕ</w:t>
      </w:r>
    </w:p>
    <w:p w:rsidR="008E509D" w:rsidRDefault="008E509D" w:rsidP="008E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4" w:anchor="/document/99/902316088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Законом от 6 декабря 2011 г. № 402-ФЗ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hyperlink r:id="rId5" w:anchor="/document/99/901714433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Бюджетным кодексом РФ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приказами Минфина России </w:t>
      </w:r>
      <w:hyperlink r:id="rId6" w:anchor="/document/99/902249301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 декабря 2010 г. № 157н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 – Инструкции к Единому плану счетов № 157н), </w:t>
      </w:r>
      <w:hyperlink r:id="rId7" w:anchor="/document/99/902250003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</w:t>
        </w:r>
        <w:proofErr w:type="gramEnd"/>
        <w:r>
          <w:rPr>
            <w:rStyle w:val="a3"/>
            <w:rFonts w:ascii="Arial" w:eastAsia="Times New Roman" w:hAnsi="Arial" w:cs="Arial"/>
            <w:sz w:val="24"/>
            <w:szCs w:val="24"/>
          </w:rPr>
          <w:t xml:space="preserve"> </w:t>
        </w:r>
        <w:proofErr w:type="gramStart"/>
        <w:r>
          <w:rPr>
            <w:rStyle w:val="a3"/>
            <w:rFonts w:ascii="Arial" w:eastAsia="Times New Roman" w:hAnsi="Arial" w:cs="Arial"/>
            <w:sz w:val="24"/>
            <w:szCs w:val="24"/>
          </w:rPr>
          <w:t>6 декабря 2010 г. № 162н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Плана счетов бюджетного учета и Инструкции по его применению» (далее – Инструкция № 162н), </w:t>
      </w:r>
      <w:hyperlink r:id="rId8" w:anchor="/document/99/499032456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 июля 2013 г. № 65н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 (далее – приказ № 65н), </w:t>
      </w:r>
      <w:hyperlink r:id="rId9" w:anchor="/document/99/902252847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15 декабря 2010 г. № 173н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 – приказ № 173н), иными нормативно-правовыми актами, регулирующими вопросы бухгалтерского (бюджетного) учета. </w:t>
      </w:r>
    </w:p>
    <w:p w:rsidR="008E509D" w:rsidRDefault="008E509D" w:rsidP="008E50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Установить на 2018 год форму и методы бухгалтерского учета в соответствии с Инструкцией по бюджетному учету, утвержденным приказом Министерства финансов Российской Федерации от 30.12.2010 г. 157-Н.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Установить журнально-ордерную технологию обработки учетной информации.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Применять рабочий план счетов бухгалтерского учета согласно приложению 3.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Применять формы первичных документов согласно приложению 2.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Применять порядок проведения инвентаризации,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учетной политики.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Применять правила документооборота и обработки учетной информации, согласно приложению 2.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Применять должностные инструкции на работников бухгалтерии.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Утвердить перечень лиц, имеющих право подписи первичных учетных документов, согласно приложению 4.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Утвердить перечень должностных лиц, использующих бланки строгой отчетности, согласно приложению 5.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Утвердить перечень лиц, имеющих право на получение подотчетных сумм, согласно приложению 6.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11. Утвердить перечень лиц, имеющих право на проведение инвентаризации, согласно приложению 7.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12. Начислять амортизацию основных средств,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учетной политики.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Контроль над исполнением настоящего распоряжения возложить на главного бухгалтера Тураеву Н.Г.</w:t>
      </w: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509D" w:rsidRDefault="008E509D" w:rsidP="008E5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509D" w:rsidRDefault="008E509D" w:rsidP="008E509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8E509D" w:rsidRDefault="008E509D" w:rsidP="008E50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9D"/>
    <w:rsid w:val="00046E98"/>
    <w:rsid w:val="00331874"/>
    <w:rsid w:val="00546EB3"/>
    <w:rsid w:val="00706536"/>
    <w:rsid w:val="008E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5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get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dget.1g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dget.1gl.ru/" TargetMode="Externa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2018-02-07T02:55:00Z</dcterms:created>
  <dcterms:modified xsi:type="dcterms:W3CDTF">2018-02-07T02:55:00Z</dcterms:modified>
</cp:coreProperties>
</file>