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B" w:rsidRDefault="00E7176B" w:rsidP="00E717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7176B" w:rsidRDefault="00E7176B" w:rsidP="00E717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7176B" w:rsidRDefault="00E7176B" w:rsidP="00E717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E7176B" w:rsidRDefault="00E7176B" w:rsidP="00E7176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7176B" w:rsidRDefault="00E7176B" w:rsidP="00E717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7176B" w:rsidRDefault="00E7176B" w:rsidP="00E71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7176B" w:rsidRDefault="00E7176B" w:rsidP="00E717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7176B" w:rsidRDefault="00E7176B" w:rsidP="00E717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7176B" w:rsidRDefault="00E7176B" w:rsidP="00E717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25.06.2015 г.  № 70                                                             с. Казачье</w:t>
      </w:r>
    </w:p>
    <w:p w:rsidR="00E7176B" w:rsidRDefault="00E7176B" w:rsidP="00E71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конфликтов интересов»</w:t>
      </w:r>
    </w:p>
    <w:p w:rsidR="00E7176B" w:rsidRDefault="00E7176B" w:rsidP="00E717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№ 120 от 08 марта 2015 г. «О некоторых вопросах противодействия коррупции» </w:t>
      </w:r>
    </w:p>
    <w:p w:rsidR="00E7176B" w:rsidRDefault="00E7176B" w:rsidP="00E717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176B" w:rsidRDefault="00E7176B" w:rsidP="00E717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интересов.</w:t>
      </w:r>
    </w:p>
    <w:p w:rsidR="00E7176B" w:rsidRDefault="00E7176B" w:rsidP="00E717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№120 от 10.09.2014 г.</w:t>
      </w:r>
    </w:p>
    <w:p w:rsidR="00E7176B" w:rsidRPr="00836EB8" w:rsidRDefault="00E7176B" w:rsidP="00E717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6EB8"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E7176B" w:rsidRDefault="00E7176B" w:rsidP="00E7176B">
      <w:pPr>
        <w:rPr>
          <w:rFonts w:ascii="Times New Roman" w:hAnsi="Times New Roman" w:cs="Times New Roman"/>
          <w:sz w:val="28"/>
          <w:szCs w:val="28"/>
        </w:rPr>
      </w:pPr>
    </w:p>
    <w:p w:rsidR="00CD5A14" w:rsidRDefault="00E7176B" w:rsidP="00E717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D5A14" w:rsidRDefault="00CD5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Приложение к постановлению № 70</w:t>
      </w: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«25» июня 2015г.</w:t>
      </w: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</w:p>
    <w:p w:rsidR="00CD5A14" w:rsidRDefault="00CD5A14" w:rsidP="00CD5A14">
      <w:pPr>
        <w:pStyle w:val="ConsPlusTitle"/>
        <w:widowControl/>
        <w:rPr>
          <w:sz w:val="20"/>
          <w:szCs w:val="20"/>
        </w:rPr>
      </w:pPr>
    </w:p>
    <w:p w:rsidR="00CD5A14" w:rsidRPr="00D33B72" w:rsidRDefault="00CD5A14" w:rsidP="00CD5A14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33B7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D33B72">
        <w:rPr>
          <w:sz w:val="20"/>
          <w:szCs w:val="20"/>
        </w:rPr>
        <w:t xml:space="preserve">   ПОЛОЖЕНИЕ</w:t>
      </w:r>
    </w:p>
    <w:p w:rsidR="00CD5A14" w:rsidRPr="00D33B72" w:rsidRDefault="00CD5A14" w:rsidP="00CD5A14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О КОМИССИЯХ ПО СОБЛЮДЕНИЮ ТРЕБОВАНИЙ К СЛУЖЕБНОМУ ПОВЕДЕНИЮ</w:t>
      </w:r>
    </w:p>
    <w:p w:rsidR="00CD5A14" w:rsidRPr="00D33B72" w:rsidRDefault="00CD5A14" w:rsidP="00CD5A14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МУНИЦИПАЛЬНЫХ СЛУЖАЩИХ МУНИЦИПАЛЬНОГО ОБРАЗОВАНИЯ «</w:t>
      </w:r>
      <w:r>
        <w:rPr>
          <w:sz w:val="20"/>
          <w:szCs w:val="20"/>
        </w:rPr>
        <w:t>Казачье</w:t>
      </w:r>
      <w:r w:rsidRPr="00D33B72">
        <w:rPr>
          <w:sz w:val="20"/>
          <w:szCs w:val="20"/>
        </w:rPr>
        <w:t xml:space="preserve">» </w:t>
      </w:r>
    </w:p>
    <w:p w:rsidR="00CD5A14" w:rsidRPr="00D33B72" w:rsidRDefault="00CD5A14" w:rsidP="00CD5A14">
      <w:pPr>
        <w:pStyle w:val="ConsPlusTitle"/>
        <w:widowControl/>
        <w:rPr>
          <w:sz w:val="20"/>
          <w:szCs w:val="20"/>
        </w:rPr>
      </w:pPr>
      <w:r w:rsidRPr="00D33B7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</w:t>
      </w:r>
      <w:r w:rsidRPr="00D33B72">
        <w:rPr>
          <w:sz w:val="20"/>
          <w:szCs w:val="20"/>
        </w:rPr>
        <w:t xml:space="preserve">    И УРЕГУЛИРОВАНИЮ КОНФЛИКТА ИНТЕРЕСОВ</w:t>
      </w:r>
    </w:p>
    <w:p w:rsidR="00CD5A14" w:rsidRPr="00D33B72" w:rsidRDefault="00CD5A14" w:rsidP="00CD5A1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муниципальном образовании  «</w:t>
      </w:r>
      <w:r>
        <w:rPr>
          <w:sz w:val="20"/>
          <w:szCs w:val="20"/>
        </w:rPr>
        <w:t>Казачье</w:t>
      </w:r>
      <w:r w:rsidRPr="00D33B72">
        <w:rPr>
          <w:sz w:val="20"/>
          <w:szCs w:val="20"/>
        </w:rPr>
        <w:t xml:space="preserve">»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>. № 273-ФЗ «О противодействии коррупции».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3. Основной задачей комиссии является содействие органам местного самоуправления: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 xml:space="preserve">. № 273-ФЗ «О противодействии коррупции», Федеральным законом № 25-ФЗ от 02.03.2007г. «О муниципальной службе в Российской Федерации», другими федеральными законами; 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в осуществлении в муниципальном образовании мер по предупреждению коррупции.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служащих, замещающих должности муниципальной службы в муниципальном образовании.  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6. В состав комиссии входят: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заместитель главы муниципального образования,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представитель кадровой службы муниципального образования,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представители от Думы муниципального образования.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7. Глава муниципального образования может принять решение о включении в состав комиссии: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представителя общественного совета, общественной организации ветеранов.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8.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10. В заседаниях комиссии с правом совещательного голоса участвуют: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глава муниципального образования;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другие муниципальные служащие, замещающие должности муниципальной службы в муниципальном образовании;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13. Основаниями для проведения заседания комиссии являются: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представление главы муниципального образования материалов проверки, свидетельствующих: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поступившее в администрацию муниципального образования, в подразделение кадровой службы муниципального образования, другим ответственным должностным лицам муниципального образования:  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A14" w:rsidRPr="006B6CC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061EB">
        <w:rPr>
          <w:b/>
          <w:sz w:val="20"/>
          <w:szCs w:val="20"/>
        </w:rPr>
        <w:t xml:space="preserve">заявление </w:t>
      </w:r>
      <w:r>
        <w:rPr>
          <w:b/>
          <w:sz w:val="20"/>
          <w:szCs w:val="20"/>
        </w:rPr>
        <w:t>муниципального</w:t>
      </w:r>
      <w:r w:rsidRPr="005061EB">
        <w:rPr>
          <w:b/>
          <w:sz w:val="20"/>
          <w:szCs w:val="20"/>
        </w:rPr>
        <w:t xml:space="preserve"> служащего о невозможности выполнить требования Федерального </w:t>
      </w:r>
      <w:hyperlink r:id="rId5" w:history="1">
        <w:r w:rsidRPr="005061EB">
          <w:rPr>
            <w:b/>
            <w:color w:val="0000FF"/>
            <w:sz w:val="20"/>
            <w:szCs w:val="20"/>
          </w:rPr>
          <w:t>закона</w:t>
        </w:r>
      </w:hyperlink>
      <w:r w:rsidRPr="005061EB">
        <w:rPr>
          <w:b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Pr="005061EB">
        <w:rPr>
          <w:b/>
          <w:sz w:val="20"/>
          <w:szCs w:val="20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</w:t>
      </w:r>
      <w:r>
        <w:rPr>
          <w:b/>
          <w:sz w:val="20"/>
          <w:szCs w:val="20"/>
        </w:rPr>
        <w:t>.</w:t>
      </w:r>
      <w:hyperlink r:id="rId6" w:history="1"/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D5A14" w:rsidRPr="00520553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52285D">
        <w:rPr>
          <w:b/>
          <w:sz w:val="20"/>
          <w:szCs w:val="20"/>
        </w:rPr>
        <w:t xml:space="preserve">"д) поступившее в соответствии с </w:t>
      </w:r>
      <w:hyperlink r:id="rId8" w:history="1">
        <w:r w:rsidRPr="0052285D">
          <w:rPr>
            <w:b/>
            <w:color w:val="0000FF"/>
            <w:sz w:val="20"/>
            <w:szCs w:val="20"/>
          </w:rPr>
          <w:t>частью 4 статьи 12</w:t>
        </w:r>
      </w:hyperlink>
      <w:r w:rsidRPr="0052285D">
        <w:rPr>
          <w:b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52285D">
          <w:rPr>
            <w:b/>
            <w:color w:val="0000FF"/>
            <w:sz w:val="20"/>
            <w:szCs w:val="20"/>
          </w:rPr>
          <w:t>статьей 64.1</w:t>
        </w:r>
      </w:hyperlink>
      <w:r w:rsidRPr="0052285D">
        <w:rPr>
          <w:b/>
          <w:sz w:val="20"/>
          <w:szCs w:val="20"/>
        </w:rPr>
        <w:t xml:space="preserve"> Трудового кодекса Российской Федерации в орган </w:t>
      </w:r>
      <w:r>
        <w:rPr>
          <w:b/>
          <w:sz w:val="20"/>
          <w:szCs w:val="20"/>
        </w:rPr>
        <w:t xml:space="preserve">местного самоуправления </w:t>
      </w:r>
      <w:r w:rsidRPr="0052285D">
        <w:rPr>
          <w:b/>
          <w:sz w:val="20"/>
          <w:szCs w:val="20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b/>
          <w:sz w:val="20"/>
          <w:szCs w:val="20"/>
        </w:rPr>
        <w:t>муниципальной</w:t>
      </w:r>
      <w:r w:rsidRPr="0052285D">
        <w:rPr>
          <w:b/>
          <w:sz w:val="20"/>
          <w:szCs w:val="20"/>
        </w:rPr>
        <w:t xml:space="preserve"> службы в </w:t>
      </w:r>
      <w:r>
        <w:rPr>
          <w:b/>
          <w:sz w:val="20"/>
          <w:szCs w:val="20"/>
        </w:rPr>
        <w:t xml:space="preserve">муниципальном </w:t>
      </w:r>
      <w:r w:rsidRPr="0052285D">
        <w:rPr>
          <w:b/>
          <w:sz w:val="20"/>
          <w:szCs w:val="20"/>
        </w:rPr>
        <w:t xml:space="preserve"> органе,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</w:t>
      </w:r>
      <w:r>
        <w:rPr>
          <w:b/>
          <w:sz w:val="20"/>
          <w:szCs w:val="20"/>
        </w:rPr>
        <w:t xml:space="preserve">мещения должности в </w:t>
      </w:r>
      <w:r w:rsidRPr="0052285D">
        <w:rPr>
          <w:b/>
          <w:sz w:val="20"/>
          <w:szCs w:val="20"/>
        </w:rPr>
        <w:t>органе</w:t>
      </w:r>
      <w:r>
        <w:rPr>
          <w:b/>
          <w:sz w:val="20"/>
          <w:szCs w:val="20"/>
        </w:rPr>
        <w:t xml:space="preserve"> местного самоуправления</w:t>
      </w:r>
      <w:r w:rsidRPr="0052285D">
        <w:rPr>
          <w:b/>
          <w:sz w:val="20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14.1.  Обращение, указанное в </w:t>
      </w:r>
      <w:hyperlink r:id="rId10" w:history="1">
        <w:r>
          <w:rPr>
            <w:color w:val="0000FF"/>
            <w:sz w:val="20"/>
            <w:szCs w:val="20"/>
          </w:rPr>
          <w:t>абзаце втором подпункта "б" пункта 13</w:t>
        </w:r>
      </w:hyperlink>
      <w:r>
        <w:rPr>
          <w:sz w:val="20"/>
          <w:szCs w:val="20"/>
        </w:rPr>
        <w:t xml:space="preserve"> настоящего Положения, подается гражданином, замещавшим должность муниципальной службы, в кадровую службу администрации муниципального образования.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14.2. Обращение, указанное в </w:t>
      </w:r>
      <w:hyperlink r:id="rId12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 xml:space="preserve">3 настоящего Положения, может быть подано муниципальным служащим, планирующим свое увольнение с муниципальной службы, и </w:t>
      </w:r>
      <w:r>
        <w:rPr>
          <w:sz w:val="20"/>
          <w:szCs w:val="20"/>
        </w:rPr>
        <w:lastRenderedPageBreak/>
        <w:t>подлежит рассмотрению комиссией в соответствии с настоящим Положением.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14.3. Уведомление, указанное в </w:t>
      </w:r>
      <w:hyperlink r:id="rId13" w:history="1">
        <w:r>
          <w:rPr>
            <w:color w:val="0000FF"/>
            <w:sz w:val="20"/>
            <w:szCs w:val="20"/>
          </w:rPr>
          <w:t>подпункте "д" пункта 1</w:t>
        </w:r>
      </w:hyperlink>
      <w:r>
        <w:rPr>
          <w:sz w:val="20"/>
          <w:szCs w:val="20"/>
        </w:rPr>
        <w:t xml:space="preserve">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4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15.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sz w:val="20"/>
          <w:szCs w:val="20"/>
        </w:rPr>
        <w:t>оступления указанной информации, за исключением случаев, предусмотренных 15., 15.2 настоящего Положения;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комиссию;</w:t>
      </w:r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15.1. Заседание комиссии по рассмотрению заявления, указанного в </w:t>
      </w:r>
      <w:hyperlink r:id="rId15" w:history="1">
        <w:r>
          <w:rPr>
            <w:color w:val="0000FF"/>
            <w:sz w:val="20"/>
            <w:szCs w:val="20"/>
          </w:rPr>
          <w:t>абзаце третьем подпункта "б" пункта 1</w:t>
        </w:r>
      </w:hyperlink>
      <w:r>
        <w:rPr>
          <w:sz w:val="20"/>
          <w:szCs w:val="20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15.2. Уведомление, указанное в </w:t>
      </w:r>
      <w:hyperlink r:id="rId16" w:history="1">
        <w:r>
          <w:rPr>
            <w:color w:val="0000FF"/>
            <w:sz w:val="20"/>
            <w:szCs w:val="20"/>
          </w:rPr>
          <w:t>подпункте "д" пункта 1</w:t>
        </w:r>
      </w:hyperlink>
      <w:r>
        <w:rPr>
          <w:sz w:val="20"/>
          <w:szCs w:val="20"/>
        </w:rPr>
        <w:t>3 настоящего Положения, как правило, рассматривается на очередном заседании комиссии.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16. </w:t>
      </w:r>
      <w:r w:rsidRPr="000C5DB0">
        <w:rPr>
          <w:b/>
          <w:sz w:val="20"/>
          <w:szCs w:val="20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>
        <w:rPr>
          <w:b/>
          <w:sz w:val="20"/>
          <w:szCs w:val="20"/>
        </w:rPr>
        <w:t>утствие указанного гражданина.".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17. На заседании комиссии заслушиваются пояснения муниципального служащего </w:t>
      </w:r>
      <w:r>
        <w:rPr>
          <w:sz w:val="20"/>
          <w:szCs w:val="20"/>
        </w:rPr>
        <w:t>или гражданина, замещавшего должность муниципальной службы</w:t>
      </w:r>
      <w:r w:rsidRPr="00D33B72">
        <w:rPr>
          <w:sz w:val="20"/>
          <w:szCs w:val="20"/>
        </w:rPr>
        <w:t xml:space="preserve"> (</w:t>
      </w:r>
      <w:r>
        <w:rPr>
          <w:sz w:val="20"/>
          <w:szCs w:val="20"/>
        </w:rPr>
        <w:t>с их</w:t>
      </w:r>
      <w:r w:rsidRPr="00D33B72">
        <w:rPr>
          <w:sz w:val="20"/>
          <w:szCs w:val="20"/>
        </w:rPr>
        <w:t xml:space="preserve"> согласия) и иных лиц, рассматриваются материалы по существу </w:t>
      </w:r>
      <w:r>
        <w:rPr>
          <w:sz w:val="20"/>
          <w:szCs w:val="20"/>
        </w:rPr>
        <w:t>вынесенных на данное заседание вопросов, а также дополнительные материалы.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установить, что сведения, представленные муниципальным служащим в соответствии со статьей 8 Федерального закона «О противодействии коррупции», являются достоверными и полными;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сведения, представленные муниципальным служащим в соответствии со статьей 8 Федерального закона «О противодействии коррупции»,  являются недостоверными и (или) неполными.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D33B72">
        <w:rPr>
          <w:sz w:val="20"/>
          <w:szCs w:val="20"/>
        </w:rPr>
        <w:lastRenderedPageBreak/>
        <w:t>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CD5A14" w:rsidRPr="00D923C9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>По итогам рассмотрения вопроса, указанного в абзаце четвертом подпункта "б" пункта 1</w:t>
      </w:r>
      <w:r>
        <w:rPr>
          <w:b/>
          <w:sz w:val="20"/>
          <w:szCs w:val="20"/>
        </w:rPr>
        <w:t>3</w:t>
      </w:r>
      <w:r w:rsidRPr="00D923C9">
        <w:rPr>
          <w:b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CD5A14" w:rsidRPr="00D923C9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D923C9">
          <w:rPr>
            <w:b/>
            <w:color w:val="0000FF"/>
            <w:sz w:val="20"/>
            <w:szCs w:val="20"/>
          </w:rPr>
          <w:t>закона</w:t>
        </w:r>
      </w:hyperlink>
      <w:r w:rsidRPr="00D923C9">
        <w:rPr>
          <w:b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5A14" w:rsidRPr="00520553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D923C9">
          <w:rPr>
            <w:b/>
            <w:color w:val="0000FF"/>
            <w:sz w:val="20"/>
            <w:szCs w:val="20"/>
          </w:rPr>
          <w:t>закона</w:t>
        </w:r>
      </w:hyperlink>
      <w:r w:rsidRPr="00D923C9">
        <w:rPr>
          <w:b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b/>
          <w:sz w:val="20"/>
          <w:szCs w:val="20"/>
        </w:rPr>
        <w:t xml:space="preserve">местного самоуправления </w:t>
      </w:r>
      <w:r w:rsidRPr="00D923C9">
        <w:rPr>
          <w:b/>
          <w:sz w:val="20"/>
          <w:szCs w:val="20"/>
        </w:rPr>
        <w:t xml:space="preserve">применить к </w:t>
      </w:r>
      <w:r>
        <w:rPr>
          <w:b/>
          <w:sz w:val="20"/>
          <w:szCs w:val="20"/>
        </w:rPr>
        <w:t>муниципальному</w:t>
      </w:r>
      <w:r w:rsidRPr="00D923C9">
        <w:rPr>
          <w:b/>
          <w:sz w:val="20"/>
          <w:szCs w:val="20"/>
        </w:rPr>
        <w:t xml:space="preserve"> служащему ко</w:t>
      </w:r>
      <w:r>
        <w:rPr>
          <w:b/>
          <w:sz w:val="20"/>
          <w:szCs w:val="20"/>
        </w:rPr>
        <w:t>нкретную меру ответственности.".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По итогам рассмотрения вопроса, указанного в </w:t>
      </w:r>
      <w:hyperlink r:id="rId19" w:history="1">
        <w:r>
          <w:rPr>
            <w:color w:val="0000FF"/>
            <w:sz w:val="20"/>
            <w:szCs w:val="20"/>
          </w:rPr>
          <w:t>подпункте "г" пункта 1</w:t>
        </w:r>
      </w:hyperlink>
      <w:r>
        <w:rPr>
          <w:sz w:val="20"/>
          <w:szCs w:val="20"/>
        </w:rPr>
        <w:t>3 настоящего Положения, комиссия принимает одно из следующих решений: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D5A14" w:rsidRPr="00DE7DAC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D33B72">
        <w:rPr>
          <w:sz w:val="20"/>
          <w:szCs w:val="20"/>
        </w:rPr>
        <w:t xml:space="preserve">. </w:t>
      </w:r>
      <w:r w:rsidRPr="00552FA2">
        <w:rPr>
          <w:b/>
          <w:sz w:val="20"/>
          <w:szCs w:val="20"/>
        </w:rPr>
        <w:t>По итогам рассмотрения вопросов, указанных в подпунктах "а", "б", "г" и "д" пункта 1</w:t>
      </w:r>
      <w:r>
        <w:rPr>
          <w:b/>
          <w:sz w:val="20"/>
          <w:szCs w:val="20"/>
        </w:rPr>
        <w:t>3</w:t>
      </w:r>
      <w:r w:rsidRPr="00552FA2">
        <w:rPr>
          <w:b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b/>
          <w:sz w:val="20"/>
          <w:szCs w:val="20"/>
        </w:rPr>
        <w:t>ем это предусмотрено пунктами 19 - 26</w:t>
      </w:r>
      <w:r w:rsidRPr="00552FA2">
        <w:rPr>
          <w:b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CD5A14" w:rsidRPr="00DE7DAC" w:rsidRDefault="00CD5A14" w:rsidP="00CD5A1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25.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D5A14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 xml:space="preserve"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</w:t>
      </w:r>
      <w:r>
        <w:rPr>
          <w:sz w:val="20"/>
          <w:szCs w:val="20"/>
        </w:rPr>
        <w:lastRenderedPageBreak/>
        <w:t>организацию.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D33B72">
        <w:rPr>
          <w:sz w:val="20"/>
          <w:szCs w:val="20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D33B72">
        <w:rPr>
          <w:sz w:val="20"/>
          <w:szCs w:val="20"/>
        </w:rPr>
        <w:t>. Для исполнения решений комиссии могут быть подготовлены проекты нормативных правовых актов муниципального образования,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Pr="00D33B72">
        <w:rPr>
          <w:sz w:val="20"/>
          <w:szCs w:val="20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D33B72">
        <w:rPr>
          <w:sz w:val="20"/>
          <w:szCs w:val="20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D33B72">
        <w:rPr>
          <w:sz w:val="20"/>
          <w:szCs w:val="20"/>
        </w:rPr>
        <w:t>. В протоколе заседания комиссии указываются: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ж) другие сведения;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з) результаты голосования;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и) решение и обоснование его принятия.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D33B72">
        <w:rPr>
          <w:sz w:val="20"/>
          <w:szCs w:val="2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Pr="00D33B72">
        <w:rPr>
          <w:sz w:val="20"/>
          <w:szCs w:val="20"/>
        </w:rPr>
        <w:t>. Копии протокола заседания комиссии в 3-дневный срок со дня заседания направляются главе администрации муниципального образования,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33</w:t>
      </w:r>
      <w:r w:rsidRPr="00D33B72">
        <w:rPr>
          <w:sz w:val="20"/>
          <w:szCs w:val="20"/>
        </w:rPr>
        <w:t>.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комиссии. Решение  главы администрации муниципального образования оглашается на ближайшем заседании комиссии и принимается к сведению без обсуждения.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34</w:t>
      </w:r>
      <w:r w:rsidRPr="00D33B72">
        <w:rPr>
          <w:sz w:val="20"/>
          <w:szCs w:val="20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  главе администрации муниципального образования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Pr="00D33B72">
        <w:rPr>
          <w:sz w:val="20"/>
          <w:szCs w:val="20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CD5A14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Pr="00D33B72">
        <w:rPr>
          <w:sz w:val="20"/>
          <w:szCs w:val="20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A14" w:rsidRPr="00D33B72" w:rsidRDefault="00CD5A14" w:rsidP="00CD5A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r:id="rId23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8</w:t>
      </w:r>
      <w:r w:rsidRPr="00D33B72">
        <w:rPr>
          <w:sz w:val="20"/>
          <w:szCs w:val="20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образования.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5A14" w:rsidRPr="00D33B72" w:rsidRDefault="00CD5A14" w:rsidP="00CD5A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5A14" w:rsidRPr="00D33B72" w:rsidRDefault="00CD5A14" w:rsidP="00CD5A14">
      <w:pPr>
        <w:rPr>
          <w:sz w:val="20"/>
          <w:szCs w:val="20"/>
        </w:rPr>
      </w:pPr>
    </w:p>
    <w:p w:rsidR="00CD5A14" w:rsidRPr="00D33B72" w:rsidRDefault="00CD5A14" w:rsidP="00CD5A14">
      <w:pPr>
        <w:rPr>
          <w:sz w:val="20"/>
          <w:szCs w:val="20"/>
        </w:rPr>
      </w:pPr>
    </w:p>
    <w:p w:rsidR="00CD5A14" w:rsidRDefault="00CD5A14" w:rsidP="00CD5A14"/>
    <w:p w:rsidR="00E7176B" w:rsidRDefault="00E7176B" w:rsidP="00E71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176B"/>
    <w:rsid w:val="000E3359"/>
    <w:rsid w:val="003A3629"/>
    <w:rsid w:val="00CD5A14"/>
    <w:rsid w:val="00E7176B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6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D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10640CFC33A892FD943FC22B05081BE43EBABECDDt6H" TargetMode="External"/><Relationship Id="rId13" Type="http://schemas.openxmlformats.org/officeDocument/2006/relationships/hyperlink" Target="consultantplus://offline/ref=C3A5602EF9F8214A2572F673946E1A2421856C1C12F968680160CEF99639A36E53A137JCLDD" TargetMode="External"/><Relationship Id="rId18" Type="http://schemas.openxmlformats.org/officeDocument/2006/relationships/hyperlink" Target="consultantplus://offline/ref=FDE4EFBFD066029FFDBD3FBEDCFE6C3141EC3A585E1906F7EB5905E96171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9AD3C9F5ACA4900347A12358E751D35F069D2002CA6E20FCE2A3AB314DF90C2FC089D26AC6FBF16EX5D" TargetMode="External"/><Relationship Id="rId7" Type="http://schemas.openxmlformats.org/officeDocument/2006/relationships/hyperlink" Target="consultantplus://offline/ref=2A65CDF7F5BDC8C5F8EA2641161C589A364D8134E146B5CAE88455ED64480881BB03088C9311AC3CN5I8D" TargetMode="External"/><Relationship Id="rId12" Type="http://schemas.openxmlformats.org/officeDocument/2006/relationships/hyperlink" Target="consultantplus://offline/ref=C3A5602EF9F8214A2572F673946E1A2421856C1C12F968680160CEF99639A36E53A137CD1E914E29J0L5D" TargetMode="External"/><Relationship Id="rId17" Type="http://schemas.openxmlformats.org/officeDocument/2006/relationships/hyperlink" Target="consultantplus://offline/ref=FDE4EFBFD066029FFDBD3FBEDCFE6C3141EC3A585E1906F7EB5905E96171z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05EAF7D42282FE4A8FB18C71AFC3F47FCFAD8464D3B1CD997653F325BE50620E41EA72Q7D" TargetMode="External"/><Relationship Id="rId20" Type="http://schemas.openxmlformats.org/officeDocument/2006/relationships/hyperlink" Target="consultantplus://offline/ref=849AD3C9F5ACA4900347A12358E751D35F069D2002CA6E20FCE2A3AB314DF90C2FC089D26AC6FBF16EX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0E39F30EB3D255A5C7E15D718C467C781173105E891CFF207FAF8B8FBF457326BC4A1B820D1D39C8sBH" TargetMode="External"/><Relationship Id="rId11" Type="http://schemas.openxmlformats.org/officeDocument/2006/relationships/hyperlink" Target="consultantplus://offline/ref=8CE202EA721B5D496443F08B291FC5C9C5C87A738301B76B78F4D5AC155E25FC31DEF9DB6EKF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0E39F30EB3D255A5C7E15D718C467C78117714598F1CFF207FAF8B8FCBsFH" TargetMode="External"/><Relationship Id="rId15" Type="http://schemas.openxmlformats.org/officeDocument/2006/relationships/hyperlink" Target="consultantplus://offline/ref=4805EAF7D42282FE4A8FB18C71AFC3F47FCFAD8464D3B1CD997653F325BE50620E41EA2763FCF11F7BQ7D" TargetMode="External"/><Relationship Id="rId23" Type="http://schemas.openxmlformats.org/officeDocument/2006/relationships/hyperlink" Target="consultantplus://offline/ref=FF6A49B24B71B53A1E78BA848372B9E316FEB970272212D8559971207B0BE67CECBDE9C8FE35C0DBBDf9D" TargetMode="External"/><Relationship Id="rId10" Type="http://schemas.openxmlformats.org/officeDocument/2006/relationships/hyperlink" Target="consultantplus://offline/ref=8CE202EA721B5D496443F08B291FC5C9C5CB787C8008B76B78F4D5AC155E25FC31DEF9D8E70DD8356EKCD" TargetMode="External"/><Relationship Id="rId19" Type="http://schemas.openxmlformats.org/officeDocument/2006/relationships/hyperlink" Target="consultantplus://offline/ref=849AD3C9F5ACA4900347A12358E751D35F03912306CA6E20FCE2A3AB314DF90C2FC089D26AC6FAF06EX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B340DBC092D48FD8F211CA6D51B39310645CCC230892FD943FC22B05081BE43EBABEED2D3D3tCH" TargetMode="External"/><Relationship Id="rId14" Type="http://schemas.openxmlformats.org/officeDocument/2006/relationships/hyperlink" Target="consultantplus://offline/ref=C3A5602EF9F8214A2572F673946E1A2421866E1311F068680160CEF99639A36E53A137CEJ1L6D" TargetMode="External"/><Relationship Id="rId22" Type="http://schemas.openxmlformats.org/officeDocument/2006/relationships/hyperlink" Target="consultantplus://offline/ref=7895D253BED7191315BF9F82827C621501535BF1C2BA6C4ABEF2D99C2ADAB68B6ECD283F0Ca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4428</Words>
  <Characters>25244</Characters>
  <Application>Microsoft Office Word</Application>
  <DocSecurity>0</DocSecurity>
  <Lines>210</Lines>
  <Paragraphs>59</Paragraphs>
  <ScaleCrop>false</ScaleCrop>
  <Company>Microsoft</Company>
  <LinksUpToDate>false</LinksUpToDate>
  <CharactersWithSpaces>29613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2015-06-30T02:15:00Z</dcterms:created>
  <dcterms:modified xsi:type="dcterms:W3CDTF">2015-06-30T02:16:00Z</dcterms:modified>
</cp:coreProperties>
</file>