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4" w:rsidRPr="00346E01" w:rsidRDefault="009F7C48" w:rsidP="00357C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E01">
        <w:rPr>
          <w:rFonts w:ascii="Times New Roman" w:hAnsi="Times New Roman" w:cs="Times New Roman"/>
          <w:b/>
          <w:sz w:val="26"/>
          <w:szCs w:val="26"/>
        </w:rPr>
        <w:t>Оценка условий труда</w:t>
      </w:r>
      <w:r w:rsidR="002E657D" w:rsidRPr="00346E0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925F1" w:rsidRPr="00346E01">
        <w:rPr>
          <w:rFonts w:ascii="Times New Roman" w:hAnsi="Times New Roman" w:cs="Times New Roman"/>
          <w:b/>
          <w:sz w:val="26"/>
          <w:szCs w:val="26"/>
        </w:rPr>
        <w:t>исторические</w:t>
      </w:r>
      <w:r w:rsidR="00357C2A" w:rsidRPr="00346E01">
        <w:rPr>
          <w:rFonts w:ascii="Times New Roman" w:hAnsi="Times New Roman" w:cs="Times New Roman"/>
          <w:b/>
          <w:sz w:val="26"/>
          <w:szCs w:val="26"/>
        </w:rPr>
        <w:t xml:space="preserve"> проблемы </w:t>
      </w:r>
      <w:r w:rsidR="00B76331" w:rsidRPr="00346E01">
        <w:rPr>
          <w:rFonts w:ascii="Times New Roman" w:hAnsi="Times New Roman" w:cs="Times New Roman"/>
          <w:b/>
          <w:sz w:val="26"/>
          <w:szCs w:val="26"/>
        </w:rPr>
        <w:t>современного</w:t>
      </w:r>
      <w:r w:rsidR="00357C2A" w:rsidRPr="00346E01">
        <w:rPr>
          <w:rFonts w:ascii="Times New Roman" w:hAnsi="Times New Roman" w:cs="Times New Roman"/>
          <w:b/>
          <w:sz w:val="26"/>
          <w:szCs w:val="26"/>
        </w:rPr>
        <w:t xml:space="preserve"> свойства</w:t>
      </w:r>
    </w:p>
    <w:p w:rsidR="003E075F" w:rsidRPr="00346E01" w:rsidRDefault="003E075F" w:rsidP="00BC693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46E01">
        <w:rPr>
          <w:rFonts w:ascii="Times New Roman" w:hAnsi="Times New Roman" w:cs="Times New Roman"/>
          <w:sz w:val="26"/>
          <w:szCs w:val="26"/>
        </w:rPr>
        <w:t>Великое дело законодательства состоит в том, чтобы создавать общественное благо из наибольшего числа частных интересов.</w:t>
      </w:r>
    </w:p>
    <w:p w:rsidR="00BC693C" w:rsidRDefault="001E3AF8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hyperlink r:id="rId7" w:history="1">
        <w:r w:rsidR="003E075F" w:rsidRPr="00346E01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Пьер </w:t>
        </w:r>
        <w:proofErr w:type="spellStart"/>
        <w:r w:rsidR="003E075F" w:rsidRPr="00346E01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Буаст</w:t>
        </w:r>
        <w:proofErr w:type="spellEnd"/>
      </w:hyperlink>
      <w:r w:rsidR="00BC693C"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, </w:t>
      </w:r>
    </w:p>
    <w:p w:rsidR="00BC693C" w:rsidRDefault="00BC693C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>французский лексикограф</w:t>
      </w:r>
    </w:p>
    <w:p w:rsidR="003E075F" w:rsidRDefault="00BC693C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>(1765-1824)</w:t>
      </w:r>
    </w:p>
    <w:p w:rsidR="00BC693C" w:rsidRDefault="00BC693C" w:rsidP="00BC693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E657D" w:rsidRPr="00346E01" w:rsidRDefault="002E657D" w:rsidP="00BC693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46E01">
        <w:rPr>
          <w:rFonts w:ascii="Times New Roman" w:hAnsi="Times New Roman" w:cs="Times New Roman"/>
          <w:sz w:val="26"/>
          <w:szCs w:val="26"/>
        </w:rPr>
        <w:t xml:space="preserve">Незнание закона не освобождает от ответственности. </w:t>
      </w:r>
      <w:r w:rsidR="00BB4058">
        <w:rPr>
          <w:rFonts w:ascii="Times New Roman" w:hAnsi="Times New Roman" w:cs="Times New Roman"/>
          <w:sz w:val="26"/>
          <w:szCs w:val="26"/>
        </w:rPr>
        <w:t xml:space="preserve">    </w:t>
      </w:r>
      <w:r w:rsidRPr="00346E01">
        <w:rPr>
          <w:rFonts w:ascii="Times New Roman" w:hAnsi="Times New Roman" w:cs="Times New Roman"/>
          <w:sz w:val="26"/>
          <w:szCs w:val="26"/>
        </w:rPr>
        <w:t xml:space="preserve">А вот знание - нередко освобождает. </w:t>
      </w:r>
    </w:p>
    <w:p w:rsidR="002E657D" w:rsidRDefault="001E3AF8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hyperlink r:id="rId8" w:history="1">
        <w:r w:rsidR="002E657D" w:rsidRPr="00346E01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 xml:space="preserve">Станислав Ежи </w:t>
        </w:r>
        <w:proofErr w:type="spellStart"/>
        <w:r w:rsidR="002E657D" w:rsidRPr="00346E01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Лец</w:t>
        </w:r>
        <w:proofErr w:type="spellEnd"/>
      </w:hyperlink>
      <w:r w:rsidR="00BC693C"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>,</w:t>
      </w:r>
    </w:p>
    <w:p w:rsidR="00BC693C" w:rsidRDefault="00BC693C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>польский поэт, писатель, философ</w:t>
      </w:r>
    </w:p>
    <w:p w:rsidR="00BC693C" w:rsidRDefault="00BC693C" w:rsidP="00BC693C">
      <w:pPr>
        <w:spacing w:after="0" w:line="240" w:lineRule="auto"/>
        <w:ind w:left="4536"/>
        <w:jc w:val="right"/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6"/>
          <w:szCs w:val="26"/>
          <w:u w:val="none"/>
        </w:rPr>
        <w:t>(1909-1966)</w:t>
      </w:r>
    </w:p>
    <w:p w:rsidR="00BC693C" w:rsidRPr="00346E01" w:rsidRDefault="00101D02" w:rsidP="00BC693C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D40FAB" wp14:editId="4169FF05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4396105" cy="2596515"/>
            <wp:effectExtent l="0" t="0" r="4445" b="0"/>
            <wp:wrapSquare wrapText="bothSides"/>
            <wp:docPr id="4" name="Рисунок 4" descr="http://vox.publika.md/wp-content/uploads/2015/09/1361334002_212989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x.publika.md/wp-content/uploads/2015/09/1361334002_212989-192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F47" w:rsidRDefault="00954F47" w:rsidP="00210C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93C" w:rsidRDefault="00BC693C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99" w:rsidRPr="00346E01" w:rsidRDefault="00412251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представления работникам социальных гарантий и компенсаций за труд в условиях, отклоняющихся от нормальных, берёт своё начало с 1918 года</w:t>
      </w:r>
      <w:r w:rsidR="0051609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1609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65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тогда </w:t>
      </w:r>
      <w:r w:rsidR="00E55F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Советской России</w:t>
      </w:r>
      <w:r w:rsidR="00B2065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приняты два основополагающих документа: </w:t>
      </w:r>
    </w:p>
    <w:p w:rsidR="00210C9E" w:rsidRDefault="00210C9E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02" w:rsidRDefault="00101D02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EB" w:rsidRDefault="003C1DEB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99" w:rsidRPr="00346E01" w:rsidRDefault="00516099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065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Декрет о выдаче молока голодающим рабочим Путиловского завода в Петрограде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подписанный председателем Совнаркома В.И. Лениным</w:t>
      </w:r>
      <w:r w:rsidR="00BB4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2251" w:rsidRPr="00346E01" w:rsidRDefault="00516099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2065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</w:t>
      </w:r>
      <w:r w:rsidR="00B33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Совнаркома </w:t>
      </w:r>
      <w:r w:rsidR="00B2065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двухнедельного отпуска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занятым</w:t>
      </w:r>
      <w:proofErr w:type="gramEnd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особо вредных производствах и на особо вредных работах.</w:t>
      </w:r>
      <w:r w:rsidR="00412251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80622" w:rsidRPr="00346E01" w:rsidRDefault="006830AF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К слову сказать, </w:t>
      </w:r>
      <w:r w:rsidR="00A80622"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сравнении с нынешними преференциями, гарантированными государством за работу во вредных условиях труда, гарантии столетней давности весьма скромны.</w:t>
      </w:r>
    </w:p>
    <w:p w:rsidR="007C6AED" w:rsidRPr="00346E01" w:rsidRDefault="00A80622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 </w:t>
      </w:r>
      <w:r w:rsidR="007C6AE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заметить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7C6AE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полагались они весьма ограниченному кругу лиц, чья работа была сопряжена с «вредностью», отнесённой </w:t>
      </w:r>
      <w:proofErr w:type="gramStart"/>
      <w:r w:rsidR="007C6AE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7C6AE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или критической</w:t>
      </w:r>
      <w:r w:rsidR="0076692E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(например, отсутствие дневного света, воздушное давление, повышенная температура воздуха, воздействие разлагающихся или инфицированных органических веществ)</w:t>
      </w:r>
      <w:r w:rsidR="007C6AE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0AEA" w:rsidRPr="00346E01" w:rsidRDefault="007C6AED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 предоставления дополнительного отпуска, то при условии его приобщения к основному, регламентированному постановлением Совнаркома от 14</w:t>
      </w:r>
      <w:r w:rsidR="004B7CC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1918 </w:t>
      </w:r>
      <w:r w:rsidR="004B7CC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271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отпусках», общая </w:t>
      </w:r>
      <w:r w:rsidR="004B5B1E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A8062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составляла лишь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 w:rsidR="00A8062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 – основной отпуск, две – за работу в особо вредных условиях труда)</w:t>
      </w:r>
      <w:r w:rsidR="00A8062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830AF" w:rsidRPr="00346E01" w:rsidRDefault="005C0AEA" w:rsidP="0041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Воспользоваться этой возможностью смогли далеко не все работники, поскольку уже с</w:t>
      </w:r>
      <w:r w:rsidR="006830A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пустя 3 месяца, к концу 1918 года</w:t>
      </w:r>
      <w:r w:rsidR="003C1D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30A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ухудшением экономической и политической ситуации в стране, </w:t>
      </w:r>
      <w:r w:rsidR="00A8062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об отпуске </w:t>
      </w:r>
      <w:r w:rsidR="006830A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отменено</w:t>
      </w:r>
      <w:r w:rsidR="00A8062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0AF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E12" w:rsidRDefault="00B33E12" w:rsidP="00A511E4">
      <w:pPr>
        <w:pStyle w:val="2"/>
        <w:rPr>
          <w:rFonts w:ascii="Times New Roman" w:hAnsi="Times New Roman"/>
          <w:sz w:val="26"/>
          <w:szCs w:val="26"/>
        </w:rPr>
      </w:pPr>
    </w:p>
    <w:p w:rsidR="00B33E12" w:rsidRDefault="00B33E12" w:rsidP="00A511E4">
      <w:pPr>
        <w:pStyle w:val="2"/>
        <w:rPr>
          <w:rFonts w:ascii="Times New Roman" w:hAnsi="Times New Roman"/>
          <w:sz w:val="26"/>
          <w:szCs w:val="26"/>
        </w:rPr>
      </w:pPr>
    </w:p>
    <w:p w:rsidR="00A511E4" w:rsidRPr="00346E01" w:rsidRDefault="005C0AEA" w:rsidP="00A511E4">
      <w:pPr>
        <w:pStyle w:val="2"/>
        <w:rPr>
          <w:rFonts w:ascii="Times New Roman" w:hAnsi="Times New Roman"/>
          <w:sz w:val="26"/>
          <w:szCs w:val="26"/>
        </w:rPr>
      </w:pPr>
      <w:r w:rsidRPr="00346E01">
        <w:rPr>
          <w:rFonts w:ascii="Times New Roman" w:hAnsi="Times New Roman"/>
          <w:sz w:val="26"/>
          <w:szCs w:val="26"/>
        </w:rPr>
        <w:lastRenderedPageBreak/>
        <w:t xml:space="preserve">Судьба же первой социальной гарантии – «молока за вредность» оказалась куда более </w:t>
      </w:r>
      <w:r w:rsidR="004B7CC9" w:rsidRPr="00346E01">
        <w:rPr>
          <w:rFonts w:ascii="Times New Roman" w:hAnsi="Times New Roman"/>
          <w:sz w:val="26"/>
          <w:szCs w:val="26"/>
        </w:rPr>
        <w:t xml:space="preserve">жизнестойкой. 4 августа 1921 года Декретом Совнаркома </w:t>
      </w:r>
      <w:r w:rsidR="00A511E4" w:rsidRPr="00346E01">
        <w:rPr>
          <w:rFonts w:ascii="Times New Roman" w:hAnsi="Times New Roman"/>
          <w:sz w:val="26"/>
          <w:szCs w:val="26"/>
        </w:rPr>
        <w:t>«О снаб</w:t>
      </w:r>
      <w:r w:rsidR="00A511E4" w:rsidRPr="00346E01">
        <w:rPr>
          <w:rFonts w:ascii="Times New Roman" w:hAnsi="Times New Roman"/>
          <w:sz w:val="26"/>
          <w:szCs w:val="26"/>
        </w:rPr>
        <w:softHyphen/>
        <w:t xml:space="preserve">жении рабочих молоком и жирами» </w:t>
      </w:r>
      <w:r w:rsidR="004B7CC9" w:rsidRPr="00346E01">
        <w:rPr>
          <w:rFonts w:ascii="Times New Roman" w:hAnsi="Times New Roman"/>
          <w:sz w:val="26"/>
          <w:szCs w:val="26"/>
        </w:rPr>
        <w:t xml:space="preserve">узаконены нормы дополнительного питания уже для всех рабочих страны – 0,769 литров молока </w:t>
      </w:r>
      <w:r w:rsidR="00A511E4" w:rsidRPr="00346E01">
        <w:rPr>
          <w:rFonts w:ascii="Times New Roman" w:hAnsi="Times New Roman"/>
          <w:sz w:val="26"/>
          <w:szCs w:val="26"/>
        </w:rPr>
        <w:t xml:space="preserve">(что соответствовало 1 бутылке) </w:t>
      </w:r>
      <w:r w:rsidR="004B7CC9" w:rsidRPr="00346E01">
        <w:rPr>
          <w:rFonts w:ascii="Times New Roman" w:hAnsi="Times New Roman"/>
          <w:sz w:val="26"/>
          <w:szCs w:val="26"/>
        </w:rPr>
        <w:t>или 49 гр. масла</w:t>
      </w:r>
      <w:r w:rsidR="00A511E4" w:rsidRPr="00346E01">
        <w:rPr>
          <w:rFonts w:ascii="Times New Roman" w:hAnsi="Times New Roman"/>
          <w:sz w:val="26"/>
          <w:szCs w:val="26"/>
        </w:rPr>
        <w:t xml:space="preserve"> (из расчёта 11 ½ золотников)</w:t>
      </w:r>
      <w:r w:rsidR="004B7CC9" w:rsidRPr="00346E01">
        <w:rPr>
          <w:rFonts w:ascii="Times New Roman" w:hAnsi="Times New Roman"/>
          <w:sz w:val="26"/>
          <w:szCs w:val="26"/>
        </w:rPr>
        <w:t>.</w:t>
      </w:r>
      <w:r w:rsidR="00A511E4" w:rsidRPr="00346E01">
        <w:rPr>
          <w:rFonts w:ascii="Times New Roman" w:hAnsi="Times New Roman"/>
          <w:sz w:val="26"/>
          <w:szCs w:val="26"/>
        </w:rPr>
        <w:t xml:space="preserve"> </w:t>
      </w:r>
    </w:p>
    <w:p w:rsidR="0023574B" w:rsidRDefault="00B33E12" w:rsidP="00BB4058">
      <w:pPr>
        <w:pStyle w:val="2"/>
        <w:jc w:val="right"/>
        <w:rPr>
          <w:rFonts w:ascii="Times New Roman" w:hAnsi="Times New Roman"/>
          <w:sz w:val="26"/>
          <w:szCs w:val="26"/>
        </w:rPr>
      </w:pPr>
      <w:r w:rsidRPr="00C87B4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3205DA1" wp14:editId="1BB4B984">
            <wp:simplePos x="0" y="0"/>
            <wp:positionH relativeFrom="column">
              <wp:posOffset>4389755</wp:posOffset>
            </wp:positionH>
            <wp:positionV relativeFrom="paragraph">
              <wp:posOffset>2540</wp:posOffset>
            </wp:positionV>
            <wp:extent cx="2255520" cy="2262505"/>
            <wp:effectExtent l="0" t="0" r="0" b="4445"/>
            <wp:wrapSquare wrapText="bothSides"/>
            <wp:docPr id="378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E4" w:rsidRPr="006A3652" w:rsidRDefault="00A511E4" w:rsidP="00A511E4">
      <w:pPr>
        <w:pStyle w:val="2"/>
        <w:rPr>
          <w:rFonts w:ascii="Times New Roman" w:hAnsi="Times New Roman"/>
          <w:iCs/>
          <w:sz w:val="26"/>
          <w:szCs w:val="26"/>
          <w:highlight w:val="yellow"/>
        </w:rPr>
      </w:pPr>
      <w:r w:rsidRPr="006A3652">
        <w:rPr>
          <w:rFonts w:ascii="Times New Roman" w:hAnsi="Times New Roman"/>
          <w:sz w:val="26"/>
          <w:szCs w:val="26"/>
          <w:highlight w:val="yellow"/>
        </w:rPr>
        <w:t xml:space="preserve">Весьма занятной представляется </w:t>
      </w:r>
      <w:proofErr w:type="spellStart"/>
      <w:r w:rsidRPr="006A3652">
        <w:rPr>
          <w:rFonts w:ascii="Times New Roman" w:hAnsi="Times New Roman"/>
          <w:sz w:val="26"/>
          <w:szCs w:val="26"/>
          <w:highlight w:val="yellow"/>
        </w:rPr>
        <w:t>преамбульная</w:t>
      </w:r>
      <w:proofErr w:type="spellEnd"/>
      <w:r w:rsidRPr="006A3652">
        <w:rPr>
          <w:rFonts w:ascii="Times New Roman" w:hAnsi="Times New Roman"/>
          <w:sz w:val="26"/>
          <w:szCs w:val="26"/>
          <w:highlight w:val="yellow"/>
        </w:rPr>
        <w:t xml:space="preserve"> – «</w:t>
      </w:r>
      <w:r w:rsidR="007B6069" w:rsidRPr="006A3652">
        <w:rPr>
          <w:rFonts w:ascii="Times New Roman" w:hAnsi="Times New Roman"/>
          <w:sz w:val="26"/>
          <w:szCs w:val="26"/>
          <w:highlight w:val="yellow"/>
        </w:rPr>
        <w:t>…</w:t>
      </w:r>
      <w:r w:rsidRPr="006A3652">
        <w:rPr>
          <w:rFonts w:ascii="Times New Roman" w:hAnsi="Times New Roman"/>
          <w:sz w:val="26"/>
          <w:szCs w:val="26"/>
          <w:highlight w:val="yellow"/>
        </w:rPr>
        <w:t xml:space="preserve">во избежание вероятности голодного бунта рабочих» и </w:t>
      </w:r>
      <w:proofErr w:type="gramStart"/>
      <w:r w:rsidRPr="006A3652">
        <w:rPr>
          <w:rFonts w:ascii="Times New Roman" w:hAnsi="Times New Roman"/>
          <w:sz w:val="26"/>
          <w:szCs w:val="26"/>
          <w:highlight w:val="yellow"/>
        </w:rPr>
        <w:t>содержательная</w:t>
      </w:r>
      <w:proofErr w:type="gramEnd"/>
      <w:r w:rsidRPr="006A3652">
        <w:rPr>
          <w:rFonts w:ascii="Times New Roman" w:hAnsi="Times New Roman"/>
          <w:sz w:val="26"/>
          <w:szCs w:val="26"/>
          <w:highlight w:val="yellow"/>
        </w:rPr>
        <w:t xml:space="preserve"> части Декрета </w:t>
      </w:r>
      <w:r w:rsidRPr="006A3652">
        <w:rPr>
          <w:rFonts w:ascii="Times New Roman" w:hAnsi="Times New Roman"/>
          <w:iCs/>
          <w:sz w:val="26"/>
          <w:szCs w:val="26"/>
          <w:highlight w:val="yellow"/>
        </w:rPr>
        <w:t>«...</w:t>
      </w:r>
      <w:r w:rsidR="007B6069" w:rsidRPr="006A3652">
        <w:rPr>
          <w:rFonts w:ascii="Times New Roman" w:hAnsi="Times New Roman"/>
          <w:iCs/>
          <w:sz w:val="26"/>
          <w:szCs w:val="26"/>
          <w:highlight w:val="yellow"/>
        </w:rPr>
        <w:t>п</w:t>
      </w:r>
      <w:r w:rsidRPr="006A3652">
        <w:rPr>
          <w:rFonts w:ascii="Times New Roman" w:hAnsi="Times New Roman"/>
          <w:iCs/>
          <w:sz w:val="26"/>
          <w:szCs w:val="26"/>
          <w:highlight w:val="yellow"/>
        </w:rPr>
        <w:t>ризнать необходимым снабжение ра</w:t>
      </w:r>
      <w:r w:rsidRPr="006A3652">
        <w:rPr>
          <w:rFonts w:ascii="Times New Roman" w:hAnsi="Times New Roman"/>
          <w:iCs/>
          <w:sz w:val="26"/>
          <w:szCs w:val="26"/>
          <w:highlight w:val="yellow"/>
        </w:rPr>
        <w:softHyphen/>
        <w:t>бочих молоком с заменой его жирами, в случаях, когда потребление таковых веществ настоятельно требуется характером произ</w:t>
      </w:r>
      <w:r w:rsidRPr="006A3652">
        <w:rPr>
          <w:rFonts w:ascii="Times New Roman" w:hAnsi="Times New Roman"/>
          <w:iCs/>
          <w:sz w:val="26"/>
          <w:szCs w:val="26"/>
          <w:highlight w:val="yellow"/>
        </w:rPr>
        <w:softHyphen/>
        <w:t>водимой работы</w:t>
      </w:r>
      <w:r w:rsidR="007B6069" w:rsidRPr="006A3652">
        <w:rPr>
          <w:rFonts w:ascii="Times New Roman" w:hAnsi="Times New Roman"/>
          <w:iCs/>
          <w:sz w:val="26"/>
          <w:szCs w:val="26"/>
          <w:highlight w:val="yellow"/>
        </w:rPr>
        <w:t>»</w:t>
      </w:r>
      <w:r w:rsidRPr="006A3652">
        <w:rPr>
          <w:rFonts w:ascii="Times New Roman" w:hAnsi="Times New Roman"/>
          <w:iCs/>
          <w:sz w:val="26"/>
          <w:szCs w:val="26"/>
          <w:highlight w:val="yellow"/>
        </w:rPr>
        <w:t>.</w:t>
      </w:r>
    </w:p>
    <w:p w:rsidR="007B6069" w:rsidRPr="00346E01" w:rsidRDefault="007B6069" w:rsidP="007B6069">
      <w:pPr>
        <w:pStyle w:val="2"/>
        <w:rPr>
          <w:rFonts w:ascii="Times New Roman" w:hAnsi="Times New Roman"/>
          <w:sz w:val="26"/>
          <w:szCs w:val="26"/>
        </w:rPr>
      </w:pPr>
      <w:r w:rsidRPr="006A3652">
        <w:rPr>
          <w:rFonts w:ascii="Times New Roman" w:hAnsi="Times New Roman"/>
          <w:sz w:val="26"/>
          <w:szCs w:val="26"/>
          <w:highlight w:val="yellow"/>
        </w:rPr>
        <w:t>Более того, в 1922 года эта норма внесена в состав КЗоТов, вначале в виде выдачи жи</w:t>
      </w:r>
      <w:r w:rsidRPr="006A3652">
        <w:rPr>
          <w:rFonts w:ascii="Times New Roman" w:hAnsi="Times New Roman"/>
          <w:sz w:val="26"/>
          <w:szCs w:val="26"/>
          <w:highlight w:val="yellow"/>
        </w:rPr>
        <w:softHyphen/>
        <w:t>ров</w:t>
      </w:r>
      <w:r w:rsidR="007925F1" w:rsidRPr="006A3652">
        <w:rPr>
          <w:rFonts w:ascii="Times New Roman" w:hAnsi="Times New Roman"/>
          <w:sz w:val="26"/>
          <w:szCs w:val="26"/>
          <w:highlight w:val="yellow"/>
        </w:rPr>
        <w:t xml:space="preserve"> (</w:t>
      </w:r>
      <w:r w:rsidR="00D616DB" w:rsidRPr="006A3652">
        <w:rPr>
          <w:rFonts w:ascii="Times New Roman" w:hAnsi="Times New Roman"/>
          <w:sz w:val="26"/>
          <w:szCs w:val="26"/>
          <w:highlight w:val="yellow"/>
        </w:rPr>
        <w:t xml:space="preserve">лицам, занятым в производстве, связанном с опасностью профессионального отравления, </w:t>
      </w:r>
      <w:r w:rsidR="007925F1" w:rsidRPr="006A3652">
        <w:rPr>
          <w:rFonts w:ascii="Times New Roman" w:hAnsi="Times New Roman"/>
          <w:sz w:val="26"/>
          <w:szCs w:val="26"/>
          <w:highlight w:val="yellow"/>
        </w:rPr>
        <w:t>в качестве противоядия)</w:t>
      </w:r>
      <w:r w:rsidRPr="006A3652">
        <w:rPr>
          <w:rFonts w:ascii="Times New Roman" w:hAnsi="Times New Roman"/>
          <w:sz w:val="26"/>
          <w:szCs w:val="26"/>
          <w:highlight w:val="yellow"/>
        </w:rPr>
        <w:t>, а впоследствии, после войны, молока.</w:t>
      </w:r>
    </w:p>
    <w:p w:rsidR="006C0C03" w:rsidRPr="00346E01" w:rsidRDefault="004F6620" w:rsidP="004F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1925 г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берёт своё начало ещё одна мощная мера социальной защищённости «</w:t>
      </w:r>
      <w:proofErr w:type="spellStart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вредников</w:t>
      </w:r>
      <w:proofErr w:type="spellEnd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льготное </w:t>
      </w:r>
      <w:proofErr w:type="spellStart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пенсионирование</w:t>
      </w:r>
      <w:proofErr w:type="spellEnd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работников. Вначале оно распространялось исключительно на народных учителей (п</w:t>
      </w:r>
      <w:r w:rsidRPr="00346E01">
        <w:rPr>
          <w:rStyle w:val="docaccesstitle"/>
          <w:rFonts w:ascii="Times New Roman" w:hAnsi="Times New Roman" w:cs="Times New Roman"/>
          <w:sz w:val="26"/>
          <w:szCs w:val="26"/>
        </w:rPr>
        <w:t>остановление ЦИК СССР, СНК СССР от 19.06.1925)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начале 30-х </w:t>
      </w:r>
      <w:r w:rsidR="006C0C03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r w:rsidR="006C0C03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медицинских, ветеринарных работников, агрономов, работников гражданского воздушного флота</w:t>
      </w:r>
      <w:r w:rsidR="006C0C03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6620" w:rsidRPr="004F6620" w:rsidRDefault="006C0C03" w:rsidP="004F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1932 г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утвержден первый «Временный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вредных профессий, дающих право на понижение стажа и повышение пенсий».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состоял из 136 профессий, а право на досрочные пенсии возникало при достижении мужчинами и женщинами возраста 50 лет при наличии 20-летнего трудового стажа, из которых не менее 10 лет должно было приходиться на подземные или другие вредные работы.</w:t>
      </w:r>
    </w:p>
    <w:p w:rsidR="004F6620" w:rsidRPr="006A3652" w:rsidRDefault="006C0C03" w:rsidP="004F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r w:rsidR="004F6620"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1947 г</w:t>
      </w: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оду</w:t>
      </w:r>
      <w:r w:rsidR="004F6620"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система досрочных пенсий распространилась на угольную промышленность, геологию и черную металлургию, в 1948 — на асбестовую, химическую, рыбную промышленность, цветную металлургию, промышленность районов Севера, в 1949 — на золотоплатиновую, алмазную, нефтедобывающую и нефтеперерабатывающую промышленность, железнодорожный транспорт и отдельные сельскохозяйственные профессии.</w:t>
      </w:r>
    </w:p>
    <w:p w:rsidR="004F6620" w:rsidRPr="004F6620" w:rsidRDefault="004F6620" w:rsidP="004F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 1956 г</w:t>
      </w:r>
      <w:r w:rsidR="006C0C03"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оду</w:t>
      </w: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система досрочных пенсий охватила связь, морской и речной флот, энергетику и электрификацию, промышленность искусственного волокна, электротехническую, кинопленочную, торфяную, лесную и бумажную промышленность.</w:t>
      </w:r>
    </w:p>
    <w:p w:rsidR="004F6620" w:rsidRPr="004F6620" w:rsidRDefault="006C0C03" w:rsidP="004F6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Наконец,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1972 г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4F6620" w:rsidRPr="004F6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разработаны показатели предоставления досрочных пенсий на основе гигиенической классификации условий труда, на основании которых в Списки 1 и 2 производств, работ, профессий, должностей и показателей, дающих </w:t>
      </w:r>
      <w:r w:rsidR="004F6620" w:rsidRPr="00346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досрочные пенсии, дополнительно включили свыше 500 профессий и должностей.</w:t>
      </w:r>
    </w:p>
    <w:p w:rsidR="009E56A3" w:rsidRDefault="00346E01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6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9E56A3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временем сформировалась некая константа видов социальных гарантий и компенсаций, полагающихся работникам, занятым во вредных условиях труда,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E56A3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числе:</w:t>
      </w:r>
    </w:p>
    <w:p w:rsidR="0023574B" w:rsidRPr="0023574B" w:rsidRDefault="0023574B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7A49" w:rsidRPr="00726D3B" w:rsidRDefault="0023574B" w:rsidP="0023574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93850" cy="1746250"/>
            <wp:effectExtent l="0" t="0" r="6350" b="6350"/>
            <wp:wrapSquare wrapText="bothSides"/>
            <wp:docPr id="10" name="Рисунок 10" descr="http://static.wixstatic.com/media/840eb0_7f32cecfa6894112b4e55d119a2dfe51.png_srz_141_149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wixstatic.com/media/840eb0_7f32cecfa6894112b4e55d119a2dfe51.png_srz_141_149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4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7A49" w:rsidRPr="00726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труда в повышенных размерах;</w:t>
      </w:r>
    </w:p>
    <w:p w:rsidR="00457A49" w:rsidRPr="00726D3B" w:rsidRDefault="00457A49" w:rsidP="00235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молоко и лечебно-профилактическое питание;</w:t>
      </w:r>
    </w:p>
    <w:p w:rsidR="009E56A3" w:rsidRPr="00726D3B" w:rsidRDefault="009E56A3" w:rsidP="00235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дополнительный оплачиваемый отпуск;</w:t>
      </w:r>
    </w:p>
    <w:p w:rsidR="009E56A3" w:rsidRPr="00726D3B" w:rsidRDefault="009E56A3" w:rsidP="00235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сокращенная продолжительность рабочей недели;</w:t>
      </w:r>
    </w:p>
    <w:p w:rsidR="009E56A3" w:rsidRPr="00346E01" w:rsidRDefault="009E56A3" w:rsidP="00235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льготное пенсионное обеспечение</w:t>
      </w:r>
      <w:r w:rsidR="00457A4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058" w:rsidRDefault="00041C7D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C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0</wp:posOffset>
            </wp:positionV>
            <wp:extent cx="2273935" cy="1482725"/>
            <wp:effectExtent l="0" t="0" r="0" b="3175"/>
            <wp:wrapSquare wrapText="bothSides"/>
            <wp:docPr id="368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4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возникла новая проблема, механизм реализации которой призван был расставить все точки над </w:t>
      </w:r>
      <w:proofErr w:type="spellStart"/>
      <w:r w:rsidR="00457A49" w:rsidRPr="0034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="00457A4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  <w:r w:rsidR="00BB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</w:p>
    <w:p w:rsidR="00BB4058" w:rsidRDefault="00BB4058" w:rsidP="00B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49" w:rsidRPr="00BB4058" w:rsidRDefault="00457A49" w:rsidP="00B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кому, за что и в каком размере? </w:t>
      </w:r>
    </w:p>
    <w:p w:rsidR="00726D3B" w:rsidRDefault="00726D3B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1E4" w:rsidRPr="00346E01" w:rsidRDefault="00457A49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появилось понятие – оценка условий труда</w:t>
      </w:r>
      <w:r w:rsidR="007E14FB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A0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</w:t>
      </w:r>
      <w:r w:rsidR="00A82A95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пределённое</w:t>
      </w:r>
      <w:r w:rsidR="007E14FB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постановлением Госкомтруда СССР и Секретариата ВЦСПС от 3 октября 1986 года №387/22-78, коим было утверждено</w:t>
      </w:r>
      <w:r w:rsidR="007E14FB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Типовое положение об оценке условий труда на рабочих местах.</w:t>
      </w:r>
    </w:p>
    <w:p w:rsidR="007E14FB" w:rsidRPr="00F35403" w:rsidRDefault="007E14FB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Этим документом, пожалуй, впервые выстроена чёткая вертикаль, </w:t>
      </w:r>
      <w:r w:rsidR="00785DA0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заключающаяся в </w:t>
      </w:r>
      <w:r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последовательно</w:t>
      </w:r>
      <w:r w:rsidR="00D8181D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й реализации</w:t>
      </w:r>
      <w:r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D8181D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процедур (измерения вредных производственных факторов → сравнение результатов с гигиеническими нормативами → определение степени (класса) вредности → установление доплат за работу во вредных условиях труда).</w:t>
      </w:r>
    </w:p>
    <w:p w:rsidR="002E671E" w:rsidRDefault="002F6E3E" w:rsidP="009E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Нельзя сказать, что </w:t>
      </w:r>
      <w:r w:rsidR="00AE1A6C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положение охватывало полный спектр потенциально вредных факторов. К примеру, им не предусматривал</w:t>
      </w:r>
      <w:r w:rsidR="007925F1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</w:t>
      </w:r>
      <w:r w:rsidR="00AE1A6C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сь </w:t>
      </w:r>
      <w:r w:rsidR="007925F1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проведение </w:t>
      </w:r>
      <w:r w:rsidR="00AE1A6C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измерени</w:t>
      </w:r>
      <w:r w:rsidR="007925F1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й</w:t>
      </w:r>
      <w:r w:rsidR="00AE1A6C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факторов световой среды и оценк</w:t>
      </w:r>
      <w:r w:rsidR="007925F1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</w:t>
      </w:r>
      <w:r w:rsidR="00AE1A6C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7925F1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напряженности трудового процесса. Тем не менее, позитивная роль этого документа в становлении процедуры оценки рабочих мест очевидна</w:t>
      </w:r>
      <w:r w:rsidR="002E671E" w:rsidRPr="00F35403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210C9E" w:rsidRDefault="00726D3B" w:rsidP="00D61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2BDF03" wp14:editId="29175480">
            <wp:simplePos x="0" y="0"/>
            <wp:positionH relativeFrom="column">
              <wp:posOffset>-35560</wp:posOffset>
            </wp:positionH>
            <wp:positionV relativeFrom="paragraph">
              <wp:posOffset>186055</wp:posOffset>
            </wp:positionV>
            <wp:extent cx="2239010" cy="1963420"/>
            <wp:effectExtent l="0" t="0" r="0" b="0"/>
            <wp:wrapSquare wrapText="bothSides"/>
            <wp:docPr id="6" name="Рисунок 6" descr="http://attestacijakazan.ru/i/p/logo-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ttestacijakazan.ru/i/p/logo-at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98" w:rsidRPr="00346E01" w:rsidRDefault="00D616DB" w:rsidP="00D61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прошествии</w:t>
      </w:r>
      <w:proofErr w:type="gramEnd"/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лет, на заре </w:t>
      </w:r>
      <w:r w:rsidR="00B33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1992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родилась а</w:t>
      </w:r>
      <w:r w:rsidR="009C3B98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ттестация рабочих мест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условиям труда</w:t>
      </w:r>
      <w:r w:rsidR="00CC3D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543A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АРМ </w:t>
      </w:r>
      <w:r w:rsidR="0049543A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Минтруда России от 8 января 1992 года №2)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3B98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просуществовавшая без малого 22 года и канувшая в лету на пороге года 2014.</w:t>
      </w:r>
    </w:p>
    <w:p w:rsidR="00BB4058" w:rsidRDefault="00BB4058" w:rsidP="0049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B36" w:rsidRPr="00876B50" w:rsidRDefault="00892B36" w:rsidP="00495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Чем же интересна она нам сегодняшним, погружённым в </w:t>
      </w:r>
      <w:proofErr w:type="spellStart"/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хитроспле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ния</w:t>
      </w:r>
      <w:proofErr w:type="spellEnd"/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законодательства 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 подзаконных актов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РФ о специальной оценке условий труда</w:t>
      </w:r>
      <w:r w:rsidR="00CC3D5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(далее – СОУТ)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BB4058" w:rsidRPr="00876B50" w:rsidRDefault="00BB405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4058" w:rsidRPr="00876B50" w:rsidRDefault="00BB405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E671E" w:rsidRPr="00876B50" w:rsidRDefault="00892B36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Прежде </w:t>
      </w:r>
      <w:proofErr w:type="gramStart"/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всего</w:t>
      </w:r>
      <w:proofErr w:type="gramEnd"/>
      <w:r w:rsidR="002E671E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тем, что некоторое время нам придётся жить «под результатами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АРМ</w:t>
      </w:r>
      <w:r w:rsidR="002E671E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» (максимальный 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«</w:t>
      </w:r>
      <w:r w:rsidR="002E671E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срок жизни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»</w:t>
      </w:r>
      <w:r w:rsidR="002E671E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материалов </w:t>
      </w:r>
      <w:r w:rsidR="003C1DEB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АРМ </w:t>
      </w:r>
      <w:r w:rsidR="002E671E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– 5 лет со дня подписания протокола о её завершении).</w:t>
      </w:r>
    </w:p>
    <w:p w:rsidR="00890F56" w:rsidRPr="00876B50" w:rsidRDefault="00DF5BF5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Но не это главное. На сегодня мы должны уверенно ориентироваться в законодательных нюансах переходных от АРМ к СОУТ положений, с тем, чтобы </w:t>
      </w:r>
      <w:r w:rsidR="00890F5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неминуемая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интеграция </w:t>
      </w:r>
      <w:r w:rsidR="00890F5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разноплановых процедур прошла для </w:t>
      </w:r>
      <w:r w:rsidR="00B33E12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сторон партнёрства</w:t>
      </w:r>
      <w:r w:rsidR="00890F5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346E01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как можно </w:t>
      </w:r>
      <w:proofErr w:type="gramStart"/>
      <w:r w:rsidR="00346E01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более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безболезненно</w:t>
      </w:r>
      <w:proofErr w:type="gramEnd"/>
      <w:r w:rsidR="00890F5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BB4058" w:rsidRPr="00876B50" w:rsidRDefault="00BB405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30704" w:rsidRPr="00346E01" w:rsidRDefault="00230704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Итак, обращаясь к </w:t>
      </w:r>
      <w:r w:rsidR="003C1DEB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«зерну»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оценки условий труда и её следствию</w:t>
      </w:r>
      <w:r w:rsidR="00271D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 обратимся к исходным терминам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</w:p>
    <w:p w:rsidR="00230704" w:rsidRPr="00346E01" w:rsidRDefault="00230704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80D" w:rsidRPr="00346E01" w:rsidRDefault="000F427F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737">
        <w:rPr>
          <w:rFonts w:ascii="Times New Roman" w:eastAsia="Times New Roman" w:hAnsi="Times New Roman" w:cs="Times New Roman"/>
          <w:b/>
          <w:sz w:val="32"/>
          <w:szCs w:val="32"/>
          <w:rtl/>
          <w:lang w:eastAsia="ru-RU"/>
        </w:rPr>
        <w:t>٧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154" w:rsidRPr="00706A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АТТЕСТАЦИЯ РАБОЧИХ МЕСТ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процедура более </w:t>
      </w:r>
      <w:r w:rsidR="003A6BEC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благоприятная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отношению к работнику, </w:t>
      </w:r>
      <w:r w:rsidR="00E131C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большей мере 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охватывающая</w:t>
      </w:r>
      <w:r w:rsidR="00E131C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потенциально вредных факторов производственного процесса</w:t>
      </w: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1C2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трудовой среды. </w:t>
      </w:r>
    </w:p>
    <w:p w:rsidR="00D17737" w:rsidRDefault="00706A0D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9D3D626" wp14:editId="7ECB6284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25830" cy="1049020"/>
            <wp:effectExtent l="0" t="0" r="0" b="0"/>
            <wp:wrapSquare wrapText="bothSides"/>
            <wp:docPr id="2" name="Рисунок 2" descr="http://magazin-dom-dacha.ru/baki-dlya-dusha/land/images/icons/icon_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-dom-dacha.ru/baki-dlya-dusha/land/images/icons/icon_ed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50" w:rsidRDefault="00E131C2" w:rsidP="0070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класс, установленный по её результатам, влиял лишь на установление оплаты труда в повышенном размере и бесплатную выдачу молока. Социальные гарантии же предоставлялись на основании соответствующих подзаконных актов</w:t>
      </w:r>
      <w:r w:rsidR="00FE1154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4AA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</w:t>
      </w:r>
      <w:r w:rsidR="00FE1154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основанием являлось наименование профессии (должности), а не установленный по результатам АРМ класс условий труда.</w:t>
      </w:r>
      <w:r w:rsidR="00DF5BF5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E671E" w:rsidRDefault="00DF5BF5" w:rsidP="0070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2B36" w:rsidRPr="00346E01" w:rsidRDefault="00876B50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декабре 2014 года вышел Федеральный закон № 426-ФЗ, который ввел понятие</w:t>
      </w:r>
      <w:r w:rsidR="00041C7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C77934E" wp14:editId="425AF585">
            <wp:simplePos x="0" y="0"/>
            <wp:positionH relativeFrom="column">
              <wp:posOffset>3258820</wp:posOffset>
            </wp:positionH>
            <wp:positionV relativeFrom="paragraph">
              <wp:posOffset>0</wp:posOffset>
            </wp:positionV>
            <wp:extent cx="3663315" cy="2848610"/>
            <wp:effectExtent l="0" t="0" r="0" b="8890"/>
            <wp:wrapSquare wrapText="bothSides"/>
            <wp:docPr id="7" name="Рисунок 7" descr="http://www.rs-stroyka.ru/netcat_files/103/41/c81e728d9d4c2f636f067f89cc14862c_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-stroyka.ru/netcat_files/103/41/c81e728d9d4c2f636f067f89cc14862c_14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154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154" w:rsidRPr="00C415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СПЕЦИАЛЬНАЯ ОЦЕНКА УСЛОВИЙ ТРУДА</w:t>
      </w:r>
      <w:r w:rsidR="00FE1154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E671E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АРМ процедура</w:t>
      </w:r>
      <w:r w:rsidR="00C4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условий труда</w:t>
      </w:r>
      <w:r w:rsidR="0039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06B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некоторой мере</w:t>
      </w:r>
      <w:r w:rsidR="003959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06B9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усечённая </w:t>
      </w:r>
      <w:r w:rsidR="00A0480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подлежат измерениям электромагнитное излучение, генерируемое ПЭВМ, коэффициент пульсации от источников света, отдельные показатели, характеризующие напряжённость труда</w:t>
      </w:r>
      <w:r w:rsidR="00BA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подлежит оценке </w:t>
      </w:r>
      <w:proofErr w:type="spellStart"/>
      <w:r w:rsidR="00BA05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травмоопасность</w:t>
      </w:r>
      <w:proofErr w:type="spellEnd"/>
      <w:r w:rsidR="00BA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места</w:t>
      </w:r>
      <w:r w:rsidR="00A0480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271DDC">
        <w:rPr>
          <w:rFonts w:ascii="Times New Roman" w:eastAsia="Times New Roman" w:hAnsi="Times New Roman" w:cs="Times New Roman"/>
          <w:sz w:val="26"/>
          <w:szCs w:val="26"/>
          <w:lang w:eastAsia="ru-RU"/>
        </w:rPr>
        <w:t>жёсткая</w:t>
      </w:r>
      <w:r w:rsidR="00A0480D"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(стали выше предельно-допустимые значения по шуму, вибрации). </w:t>
      </w:r>
      <w:proofErr w:type="gramEnd"/>
    </w:p>
    <w:p w:rsidR="00D17737" w:rsidRDefault="00706A0D" w:rsidP="00C4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C54F2" wp14:editId="16E37998">
            <wp:simplePos x="0" y="0"/>
            <wp:positionH relativeFrom="column">
              <wp:posOffset>-6350</wp:posOffset>
            </wp:positionH>
            <wp:positionV relativeFrom="paragraph">
              <wp:posOffset>146685</wp:posOffset>
            </wp:positionV>
            <wp:extent cx="967105" cy="1049020"/>
            <wp:effectExtent l="0" t="0" r="0" b="0"/>
            <wp:wrapSquare wrapText="bothSides"/>
            <wp:docPr id="3" name="Рисунок 3" descr="http://magazin-dom-dacha.ru/baki-dlya-dusha/land/images/icons/icon_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-dom-dacha.ru/baki-dlya-dusha/land/images/icons/icon_ed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0D" w:rsidRPr="00346E01" w:rsidRDefault="00A0480D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класс, установленный по результатам СОУТ, влияет на предоставление (отмену) практически всех видов социальных гарантий и компенсаций, предусмотренных законодательством РФ за работу во вредных и (или) опасных условиях труда.</w:t>
      </w:r>
    </w:p>
    <w:p w:rsidR="00706A0D" w:rsidRDefault="00706A0D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549" w:rsidRDefault="00C41549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B07" w:rsidRPr="00876B50" w:rsidRDefault="00B7633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Что касается дифференциации социальных гарантий и компенсаций работникам в зависимости от фактических условий труда – несомненно, законотворческая мысль, по своей сути, </w:t>
      </w:r>
      <w:r w:rsidR="00C41549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разумная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ведь не секрет, что </w:t>
      </w:r>
      <w:r w:rsidR="006E3F3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занятость в 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одноимённ</w:t>
      </w:r>
      <w:r w:rsidR="006E3F3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ой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професси</w:t>
      </w:r>
      <w:r w:rsidR="006E3F3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далеко не всегда предполагает работу под воздействием аналогичных производственных факторов, не говоря уже об их фактически измеренных значениях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Другое дело, что процесс практической реализации этой мысли начал сразу же давать сбои, спровоцированные, прежде всего, столкновением интересов сторон партнёрства</w:t>
      </w:r>
      <w:r w:rsidR="00032B07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</w:p>
    <w:p w:rsidR="00DC0331" w:rsidRPr="00876B50" w:rsidRDefault="00DC033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noProof/>
          <w:highlight w:val="yellow"/>
          <w:lang w:eastAsia="ru-RU"/>
        </w:rPr>
        <w:drawing>
          <wp:anchor distT="0" distB="0" distL="114300" distR="114300" simplePos="0" relativeHeight="251665408" behindDoc="0" locked="0" layoutInCell="1" allowOverlap="1" wp14:anchorId="2B223F48" wp14:editId="5BE27BE8">
            <wp:simplePos x="0" y="0"/>
            <wp:positionH relativeFrom="column">
              <wp:posOffset>-222885</wp:posOffset>
            </wp:positionH>
            <wp:positionV relativeFrom="paragraph">
              <wp:posOffset>52705</wp:posOffset>
            </wp:positionV>
            <wp:extent cx="3124200" cy="2461260"/>
            <wp:effectExtent l="0" t="0" r="0" b="0"/>
            <wp:wrapSquare wrapText="bothSides"/>
            <wp:docPr id="9" name="Рисунок 9" descr="http://krg.prokuror.kz/sites/default/files/styles/1024x683/public/news/tf_middl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rg.prokuror.kz/sites/default/files/styles/1024x683/public/news/tf_middlem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331" w:rsidRPr="00876B50" w:rsidRDefault="00DC033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32B07" w:rsidRPr="00876B50" w:rsidRDefault="00032B07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→</w:t>
      </w:r>
      <w:r w:rsidR="005F230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сторона работодателя, экономически (</w:t>
      </w:r>
      <w:r w:rsidR="006E3F3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причём,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 государственном уровне!) заинтересованн</w:t>
      </w:r>
      <w:r w:rsidR="00BB405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ая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 минимизации социальных гарантий и компенсаций</w:t>
      </w:r>
      <w:r w:rsidR="006E3F3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 работу во вредных условиях труда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;</w:t>
      </w:r>
    </w:p>
    <w:p w:rsidR="00032B07" w:rsidRPr="00876B50" w:rsidRDefault="00032B07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→ сторона работника, исторически привыкшая к различным формам 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компенсаций     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 «вредный» труд; </w:t>
      </w:r>
    </w:p>
    <w:p w:rsidR="005F2308" w:rsidRPr="00876B50" w:rsidRDefault="00032B07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→ сторона оценивающей организации, главной задачей которой является объективная оценка условий труда на рабочих местах.</w:t>
      </w:r>
    </w:p>
    <w:p w:rsidR="00041C7D" w:rsidRPr="00876B50" w:rsidRDefault="00041C7D" w:rsidP="002E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57028" w:rsidRPr="00876B50" w:rsidRDefault="0075702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Добрую «ложку дёгтя» добавляет 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работа в условиях чрезвычайного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несовершенств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законодательн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ых и подзаконных актов РФ </w:t>
      </w:r>
      <w:r w:rsidR="00271D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вкупе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 «запредельной» направленностью на снижение издержек и экономию бюджетных средств. </w:t>
      </w:r>
    </w:p>
    <w:p w:rsidR="003E075F" w:rsidRPr="00876B50" w:rsidRDefault="003E075F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Вот уж поистине, где вспоминается правило «золотой середины» или разумной умеренности. Согласитесь, непростая задача для оценивающей организации</w:t>
      </w:r>
      <w:r w:rsidR="00F23AF3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результат работы которой должен удовлетворить стороны, </w:t>
      </w:r>
      <w:r w:rsidR="00271D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преследующие</w:t>
      </w:r>
      <w:r w:rsidR="00F23AF3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271D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различные по своей социальной природе интересы</w:t>
      </w:r>
      <w:r w:rsidR="00F23AF3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DC0331" w:rsidRPr="00876B50" w:rsidRDefault="00DC033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E3F35" w:rsidRPr="00876B50" w:rsidRDefault="00D76FD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AB84974" wp14:editId="2AE69646">
            <wp:simplePos x="0" y="0"/>
            <wp:positionH relativeFrom="column">
              <wp:posOffset>11430</wp:posOffset>
            </wp:positionH>
            <wp:positionV relativeFrom="paragraph">
              <wp:posOffset>949325</wp:posOffset>
            </wp:positionV>
            <wp:extent cx="2391410" cy="1922145"/>
            <wp:effectExtent l="0" t="0" r="8890" b="1905"/>
            <wp:wrapSquare wrapText="bothSides"/>
            <wp:docPr id="8" name="Рисунок 8" descr="http://inforline.com.ua/images/kyivcompanytop/company/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rline.com.ua/images/kyivcompanytop/company/9-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9D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Ещё одна важная деталь – цена вопроса.</w:t>
      </w:r>
      <w:r w:rsidR="00F23AF3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Она, как правило, правит балом, подчас низвергая новорожденную процедуру оценки условий труда, изначально нацеленную на объективность, до формулировки «договорная СОУТ».</w:t>
      </w:r>
      <w:r w:rsidR="006B6A65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Понятно, что договариваются при этом стороны, заключающие договор оказания услуг по проведению СОУТ – работодатель и оценивающая организация.</w:t>
      </w:r>
    </w:p>
    <w:p w:rsidR="00D76FDC" w:rsidRPr="00876B50" w:rsidRDefault="00D76FDC" w:rsidP="00D7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76FDC" w:rsidRPr="00876B50" w:rsidRDefault="00D76FDC" w:rsidP="00D7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B6A65" w:rsidRPr="00876B50" w:rsidRDefault="006B6A65" w:rsidP="00D7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Ведущи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«помощник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» в этом деле – Федеральны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закон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ы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DA45A6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</w:t>
      </w:r>
      <w:r w:rsidR="00D30AE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7C2F01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тендерах, аукционах</w:t>
      </w:r>
      <w:r w:rsidR="00D30AE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7C2F01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закупках, </w:t>
      </w:r>
      <w:r w:rsidR="00D30AE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вполне законным путём «выталкивающи</w:t>
      </w:r>
      <w:r w:rsidR="007C2F01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="00D30AE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» с рынка добрый сегмент организаций, готовых оказать услугу качественно, квалифицированно, путём проведения реальных измерений, </w:t>
      </w:r>
      <w:r w:rsidR="00D76F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корректно реализуя требования методик проведения измерений</w:t>
      </w:r>
      <w:r w:rsidR="00972639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D30AE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gramEnd"/>
    </w:p>
    <w:p w:rsidR="00D76FDC" w:rsidRPr="00876B50" w:rsidRDefault="00D76FD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76FDC" w:rsidRPr="00876B50" w:rsidRDefault="00D76FD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76FDC" w:rsidRPr="00876B50" w:rsidRDefault="00D76FD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A0558" w:rsidRPr="00876B50" w:rsidRDefault="0029566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Элементарный анализ цен, по которым работают счастливчики, «взявшие» тендер (200-500 рублей за  рабочее место), характеризует собой всю масштабность проблемы, </w:t>
      </w:r>
      <w:r w:rsidR="00BA055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изящно решаемой работодателем, убивающем на </w:t>
      </w:r>
      <w:r w:rsidR="0074742B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ходу</w:t>
      </w:r>
      <w:r w:rsidR="00BA0558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нескольких зайцев: </w:t>
      </w:r>
      <w:proofErr w:type="gramEnd"/>
    </w:p>
    <w:p w:rsidR="003C1DEB" w:rsidRPr="00876B50" w:rsidRDefault="003C1DEB" w:rsidP="003C1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существенная экономия на самой процедуре проведения СОУТ;</w:t>
      </w:r>
    </w:p>
    <w:p w:rsidR="00F23AF3" w:rsidRPr="00876B50" w:rsidRDefault="00BA055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«прикрытие документом», в котором нет места социальным гарантиям;</w:t>
      </w:r>
    </w:p>
    <w:p w:rsidR="00BA0558" w:rsidRPr="00876B50" w:rsidRDefault="00BA0558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отсутствие (или </w:t>
      </w:r>
      <w:r w:rsidR="0074742B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крайняя 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минимизация</w:t>
      </w:r>
      <w:r w:rsidR="00D76FDC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!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) расходов на выплату социальных гарантий </w:t>
      </w:r>
      <w:r w:rsidR="00F87D2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 компенсаций работникам;</w:t>
      </w:r>
    </w:p>
    <w:p w:rsidR="00F87D20" w:rsidRPr="00876B50" w:rsidRDefault="00F87D20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минимизация издержек на проведение периодических медицинских осмотров, выдачу средств индивидуальной защиты и т.д.</w:t>
      </w:r>
    </w:p>
    <w:p w:rsidR="00F87D20" w:rsidRDefault="00F87D20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Пожалуй, для работодателя немало! Но с чем же в </w:t>
      </w:r>
      <w:r w:rsidR="007B6B00"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итоге</w:t>
      </w:r>
      <w:r w:rsidRPr="00876B5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остаётся работник?</w:t>
      </w:r>
    </w:p>
    <w:p w:rsidR="00BB4058" w:rsidRDefault="00947EE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C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4DD45944" wp14:editId="667166A9">
            <wp:simplePos x="0" y="0"/>
            <wp:positionH relativeFrom="column">
              <wp:posOffset>5058410</wp:posOffset>
            </wp:positionH>
            <wp:positionV relativeFrom="paragraph">
              <wp:posOffset>69850</wp:posOffset>
            </wp:positionV>
            <wp:extent cx="1863725" cy="1529715"/>
            <wp:effectExtent l="0" t="0" r="3175" b="0"/>
            <wp:wrapSquare wrapText="bothSides"/>
            <wp:docPr id="317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529715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EC" w:rsidRPr="001E3AF8" w:rsidRDefault="00F87D20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 ещё об одной </w:t>
      </w:r>
      <w:r w:rsidR="00B55CB8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проблеме, как правило, возникающей позднее того момента, когда можно что-либо откорректировать или исправить. Речь идёт о </w:t>
      </w:r>
      <w:r w:rsidR="00DF7B5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компетен</w:t>
      </w:r>
      <w:r w:rsidR="00947EE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тности</w:t>
      </w:r>
      <w:r w:rsidR="00DF7B5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членов комиссии организации, </w:t>
      </w:r>
      <w:r w:rsidR="00E708CB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которой проводится</w:t>
      </w:r>
      <w:r w:rsidR="00DF7B5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СОУТ</w:t>
      </w:r>
      <w:r w:rsidR="00E708CB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. </w:t>
      </w:r>
    </w:p>
    <w:p w:rsidR="00F87D20" w:rsidRDefault="00E708CB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 слову, в состав комиссии</w:t>
      </w:r>
      <w:r w:rsidR="00CC3D56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 обязательном порядке входят представители сторон работодателя и работника</w:t>
      </w:r>
      <w:bookmarkStart w:id="0" w:name="_GoBack"/>
      <w:bookmarkEnd w:id="0"/>
      <w:r w:rsidR="00DF7B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331" w:rsidRDefault="00DC0331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EEC" w:rsidRDefault="00947EE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B00" w:rsidRDefault="00CC3D56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мнение, что проводит СОУТ организация, с которой заключается договор на оказание услуг, в обязанности же аттестационной комиссии входит лишь обеспечение </w:t>
      </w:r>
      <w:r w:rsidR="007B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организационных моментов, связанных с подготовкой рабочих ме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 к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оведению на них оценки. </w:t>
      </w:r>
    </w:p>
    <w:p w:rsidR="00CC3D56" w:rsidRDefault="00CC3D56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не совсем так. </w:t>
      </w:r>
      <w:r w:rsidR="007B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Вернее сказать, </w:t>
      </w:r>
      <w:r w:rsidR="00747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</w:t>
      </w:r>
      <w:r w:rsidR="007B6B0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аттестационная комиссия заинтересована в объективности и достоверности проведения измерений, и, соответственно</w:t>
      </w:r>
      <w:r w:rsidR="00271D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– это не должно быть ограничено решением организационных вопросов.</w:t>
      </w:r>
    </w:p>
    <w:p w:rsidR="00090F73" w:rsidRDefault="00090F7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Первое, с чего нужно начать – с обучения членов комиссии основам проведения СОУТ. К сожалению, на сегодняшний день это не является обязательной нормой, вместе с тем, практика </w:t>
      </w:r>
      <w:r w:rsidR="00ED4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показывает, что отсутствие элементарных знаний в вопросах проведения СОУТ </w:t>
      </w:r>
      <w:r w:rsidR="00DE059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часто приводит к результату, далёкому от истинной картины, сложившейся на рабочих местах.</w:t>
      </w:r>
    </w:p>
    <w:p w:rsidR="00844C7C" w:rsidRDefault="00C50DDA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</w:t>
      </w:r>
      <w:r w:rsidR="00DE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важным </w:t>
      </w:r>
      <w:r w:rsidR="005E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 подчас, определяющим!) </w:t>
      </w:r>
      <w:r w:rsidR="0084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аспектом является </w:t>
      </w:r>
      <w:r w:rsidR="00947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</w:t>
      </w:r>
      <w:r w:rsidR="0084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членов комиссии в работе по проведению </w:t>
      </w:r>
      <w:r w:rsidR="00747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СОУТ</w:t>
      </w:r>
      <w:r w:rsidR="00844C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7EEC" w:rsidRDefault="00947EE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EEC" w:rsidRDefault="00947EEC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43" w:rsidRDefault="005E284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данном случае, от членов комиссии требуется:</w:t>
      </w:r>
    </w:p>
    <w:p w:rsidR="00895A68" w:rsidRDefault="005E284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5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идентификации – полное владение информацией о рабочих зонах, вредных производственных факторах, под воздействием которых работают лица, занятые на рабочих местах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0592" w:rsidRDefault="005E284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5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измерений факторов производственной среды - создание стандартных условий, присущих конкретному рабочему месту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шуму, вибрации, освещённости, хими</w:t>
      </w:r>
      <w:r w:rsidR="00B416D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ческому фактору и др.);</w:t>
      </w:r>
    </w:p>
    <w:p w:rsidR="00F83BF3" w:rsidRDefault="00B416DF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этапе проведения оценки – предоставление перечня рабочих мест с разбивкой по зонам и времени воздействия </w:t>
      </w:r>
      <w:r w:rsidR="00947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вредных факторов производственной среды и трудового процесса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(некий аналог хронометража рабочего времени)</w:t>
      </w:r>
      <w:r w:rsidR="00F83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E83" w:rsidRDefault="00046E8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Вроде бы мелочи, но именно они позволяют оценивающей организации корректно и обоснованно установить класс условий труда, соответствующий реалиям.</w:t>
      </w:r>
    </w:p>
    <w:p w:rsidR="0005486D" w:rsidRPr="001E3AF8" w:rsidRDefault="00B416DF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090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Как бы нам н</w:t>
      </w:r>
      <w:r w:rsidR="00947EE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</w:t>
      </w:r>
      <w:r w:rsidR="008B3090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хотелось, работа в рынке «свободного доступа» диктует свои жёсткие правила, пренебрежение которыми может свести «на нет» любое благое</w:t>
      </w:r>
      <w:r w:rsidR="00BB5A99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начинание. Вспоминаем «правило качел</w:t>
      </w:r>
      <w:r w:rsidR="00E708CB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ей</w:t>
      </w:r>
      <w:r w:rsidR="00BB5A99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»</w:t>
      </w:r>
      <w:r w:rsidR="0005486D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состоящее в </w:t>
      </w:r>
      <w:r w:rsidR="0005486D" w:rsidRPr="001E3AF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управляемом</w:t>
      </w:r>
      <w:r w:rsidR="0005486D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чередовании </w:t>
      </w:r>
      <w:r w:rsidR="005868BA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действий и противодействий в целях взаимного удовлетворения интересов</w:t>
      </w:r>
      <w:r w:rsidR="00BB5A99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. </w:t>
      </w:r>
    </w:p>
    <w:p w:rsidR="00D71173" w:rsidRDefault="00BB5A99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Уверены в том, что один из достойнейших путей решения </w:t>
      </w:r>
      <w:r w:rsidR="00947EE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злободневных</w:t>
      </w: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вопросов проведения СОУТ в нынешних условиях </w:t>
      </w:r>
      <w:r w:rsidR="00271DDC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несовершенства</w:t>
      </w: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законодательной базы - это </w:t>
      </w:r>
      <w:r w:rsidR="008B3090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консолид</w:t>
      </w: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ация усилий аттестационных комиссий </w:t>
      </w:r>
      <w:r w:rsidR="008B3090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 оценивающих организаций, как заинтересованных </w:t>
      </w:r>
      <w:r w:rsidR="00D71173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партнёрских </w:t>
      </w:r>
      <w:r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сторон</w:t>
      </w:r>
      <w:r w:rsidR="00D71173" w:rsidRPr="001E3AF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D71173" w:rsidRDefault="00D71173" w:rsidP="002E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CB" w:rsidRDefault="00DC0331" w:rsidP="00DC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-3175</wp:posOffset>
            </wp:positionV>
            <wp:extent cx="3211830" cy="3909060"/>
            <wp:effectExtent l="0" t="0" r="7620" b="0"/>
            <wp:wrapSquare wrapText="bothSides"/>
            <wp:docPr id="11" name="Рисунок 11" descr="E:\! Соболева-работа\2007\организационные вопросы\реклама\блокнот-29.12.2009\блокнот-окончательная 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! Соболева-работа\2007\организационные вопросы\реклама\блокнот-29.12.2009\блокнот-окончательная версия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331" w:rsidRDefault="00DC0331" w:rsidP="00D7117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331" w:rsidRDefault="00DC0331" w:rsidP="00D7117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331" w:rsidRDefault="00DC0331" w:rsidP="00D7117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331" w:rsidRDefault="00DC0331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 к коллегам -</w:t>
      </w:r>
    </w:p>
    <w:p w:rsidR="00DC0331" w:rsidRDefault="00DC0331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173" w:rsidRDefault="00D71173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Маргарита Соболева, </w:t>
      </w:r>
    </w:p>
    <w:p w:rsidR="00D71173" w:rsidRDefault="00D71173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исполнительный директор </w:t>
      </w:r>
    </w:p>
    <w:p w:rsidR="006E3F35" w:rsidRDefault="00D71173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«Центр экспертизы условий труда»,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нгарск</w:t>
      </w:r>
      <w:proofErr w:type="spellEnd"/>
      <w:r w:rsidR="00BB5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1173" w:rsidRDefault="00D71173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80D" w:rsidRDefault="00D71173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8 914 000 14 46</w:t>
      </w:r>
      <w:r w:rsidR="00947E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7EEC" w:rsidRDefault="00947EEC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(395-5) 59 40 53</w:t>
      </w:r>
    </w:p>
    <w:p w:rsidR="00947EEC" w:rsidRDefault="00947EEC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EEC" w:rsidRPr="00947EEC" w:rsidRDefault="00947EEC" w:rsidP="00947E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lang w:val="en-US"/>
        </w:rPr>
      </w:pPr>
      <w:r w:rsidRPr="00947EEC">
        <w:rPr>
          <w:rFonts w:ascii="Times New Roman" w:hAnsi="Times New Roman" w:cs="Times New Roman"/>
          <w:sz w:val="26"/>
          <w:szCs w:val="26"/>
          <w:lang w:val="en-US"/>
        </w:rPr>
        <w:t xml:space="preserve">E-mail:  </w:t>
      </w:r>
      <w:hyperlink r:id="rId21" w:history="1">
        <w:r w:rsidRPr="00947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arm@ceut38.ru</w:t>
        </w:r>
      </w:hyperlink>
      <w:r w:rsidRPr="00947E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47EEC" w:rsidRPr="00947EEC" w:rsidRDefault="00947EEC" w:rsidP="00947E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lang w:val="en-US"/>
        </w:rPr>
      </w:pPr>
    </w:p>
    <w:p w:rsidR="00947EEC" w:rsidRPr="00947EEC" w:rsidRDefault="00947EEC" w:rsidP="00947EE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47EEC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947EEC">
        <w:rPr>
          <w:rFonts w:ascii="Times New Roman" w:hAnsi="Times New Roman" w:cs="Times New Roman"/>
          <w:sz w:val="26"/>
          <w:szCs w:val="26"/>
          <w:lang w:val="en-US"/>
        </w:rPr>
        <w:t xml:space="preserve">:     ceut38.ru </w:t>
      </w:r>
    </w:p>
    <w:p w:rsidR="00947EEC" w:rsidRPr="00947EEC" w:rsidRDefault="00947EEC" w:rsidP="00947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7EEC"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Pr="00947EEC">
        <w:rPr>
          <w:rFonts w:ascii="Times New Roman" w:hAnsi="Times New Roman" w:cs="Times New Roman"/>
          <w:sz w:val="26"/>
          <w:szCs w:val="26"/>
        </w:rPr>
        <w:t>ЦЭУТ</w:t>
      </w:r>
      <w:proofErr w:type="gramStart"/>
      <w:r w:rsidRPr="00947EE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47EE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47EEC">
        <w:rPr>
          <w:rFonts w:ascii="Times New Roman" w:hAnsi="Times New Roman" w:cs="Times New Roman"/>
          <w:sz w:val="26"/>
          <w:szCs w:val="26"/>
        </w:rPr>
        <w:t>Ф</w:t>
      </w:r>
    </w:p>
    <w:p w:rsidR="002E657D" w:rsidRPr="00947EEC" w:rsidRDefault="002E657D" w:rsidP="002E657D">
      <w:pPr>
        <w:ind w:left="496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657D" w:rsidRPr="00947EEC" w:rsidSect="00BB4058">
      <w:pgSz w:w="11906" w:h="16838"/>
      <w:pgMar w:top="720" w:right="6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206"/>
    <w:multiLevelType w:val="multilevel"/>
    <w:tmpl w:val="678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48"/>
    <w:rsid w:val="00032B07"/>
    <w:rsid w:val="00041C7D"/>
    <w:rsid w:val="00046E83"/>
    <w:rsid w:val="0005486D"/>
    <w:rsid w:val="00067EC4"/>
    <w:rsid w:val="00090F73"/>
    <w:rsid w:val="0009231C"/>
    <w:rsid w:val="000F427F"/>
    <w:rsid w:val="00101D02"/>
    <w:rsid w:val="00185E08"/>
    <w:rsid w:val="001D38CC"/>
    <w:rsid w:val="001E3AF8"/>
    <w:rsid w:val="001F4AAF"/>
    <w:rsid w:val="00210C9E"/>
    <w:rsid w:val="00230704"/>
    <w:rsid w:val="0023574B"/>
    <w:rsid w:val="00271DDC"/>
    <w:rsid w:val="002806B9"/>
    <w:rsid w:val="00295661"/>
    <w:rsid w:val="002E657D"/>
    <w:rsid w:val="002E671E"/>
    <w:rsid w:val="002F6E3E"/>
    <w:rsid w:val="00346E01"/>
    <w:rsid w:val="00357C2A"/>
    <w:rsid w:val="003959D1"/>
    <w:rsid w:val="003A6BEC"/>
    <w:rsid w:val="003C1DEB"/>
    <w:rsid w:val="003D534E"/>
    <w:rsid w:val="003E075F"/>
    <w:rsid w:val="00412251"/>
    <w:rsid w:val="00457A49"/>
    <w:rsid w:val="0049543A"/>
    <w:rsid w:val="004B5B1E"/>
    <w:rsid w:val="004B7CC9"/>
    <w:rsid w:val="004F6620"/>
    <w:rsid w:val="00516099"/>
    <w:rsid w:val="005868BA"/>
    <w:rsid w:val="005C0AEA"/>
    <w:rsid w:val="005E2843"/>
    <w:rsid w:val="005F2308"/>
    <w:rsid w:val="006156DD"/>
    <w:rsid w:val="006830AF"/>
    <w:rsid w:val="006A3329"/>
    <w:rsid w:val="006A3652"/>
    <w:rsid w:val="006B6A65"/>
    <w:rsid w:val="006C0C03"/>
    <w:rsid w:val="006E3F35"/>
    <w:rsid w:val="00706A0D"/>
    <w:rsid w:val="00726D3B"/>
    <w:rsid w:val="0074742B"/>
    <w:rsid w:val="00757028"/>
    <w:rsid w:val="0076692E"/>
    <w:rsid w:val="00785DA0"/>
    <w:rsid w:val="007925F1"/>
    <w:rsid w:val="007B6069"/>
    <w:rsid w:val="007B6B00"/>
    <w:rsid w:val="007C2F01"/>
    <w:rsid w:val="007C6AED"/>
    <w:rsid w:val="007E14FB"/>
    <w:rsid w:val="00844C7C"/>
    <w:rsid w:val="00876B50"/>
    <w:rsid w:val="00890F56"/>
    <w:rsid w:val="00892B36"/>
    <w:rsid w:val="00895A68"/>
    <w:rsid w:val="008B3090"/>
    <w:rsid w:val="00947EEC"/>
    <w:rsid w:val="00954F47"/>
    <w:rsid w:val="00972639"/>
    <w:rsid w:val="009C3B98"/>
    <w:rsid w:val="009E56A3"/>
    <w:rsid w:val="009F7C48"/>
    <w:rsid w:val="00A0480D"/>
    <w:rsid w:val="00A511E4"/>
    <w:rsid w:val="00A80622"/>
    <w:rsid w:val="00A82A95"/>
    <w:rsid w:val="00AE1A6C"/>
    <w:rsid w:val="00B1629D"/>
    <w:rsid w:val="00B16B71"/>
    <w:rsid w:val="00B2065F"/>
    <w:rsid w:val="00B33E12"/>
    <w:rsid w:val="00B416DF"/>
    <w:rsid w:val="00B55CB8"/>
    <w:rsid w:val="00B5715B"/>
    <w:rsid w:val="00B76331"/>
    <w:rsid w:val="00BA0558"/>
    <w:rsid w:val="00BB4058"/>
    <w:rsid w:val="00BB5A99"/>
    <w:rsid w:val="00BC693C"/>
    <w:rsid w:val="00BE466C"/>
    <w:rsid w:val="00C41549"/>
    <w:rsid w:val="00C50DDA"/>
    <w:rsid w:val="00C87B4B"/>
    <w:rsid w:val="00CC3D56"/>
    <w:rsid w:val="00D17737"/>
    <w:rsid w:val="00D30AE0"/>
    <w:rsid w:val="00D616DB"/>
    <w:rsid w:val="00D71173"/>
    <w:rsid w:val="00D76FDC"/>
    <w:rsid w:val="00D8181D"/>
    <w:rsid w:val="00DA45A6"/>
    <w:rsid w:val="00DC0331"/>
    <w:rsid w:val="00DE0592"/>
    <w:rsid w:val="00DF5BF5"/>
    <w:rsid w:val="00DF7B5C"/>
    <w:rsid w:val="00E131C2"/>
    <w:rsid w:val="00E55F90"/>
    <w:rsid w:val="00E708CB"/>
    <w:rsid w:val="00ED4D20"/>
    <w:rsid w:val="00F23AF3"/>
    <w:rsid w:val="00F27394"/>
    <w:rsid w:val="00F35403"/>
    <w:rsid w:val="00F83BF3"/>
    <w:rsid w:val="00F87D20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5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511E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 Narrow" w:eastAsia="Times New Roman" w:hAnsi="Arial Narrow" w:cs="Times New Roman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11E4"/>
    <w:rPr>
      <w:rFonts w:ascii="Arial Narrow" w:eastAsia="Times New Roman" w:hAnsi="Arial Narrow" w:cs="Times New Roman"/>
      <w:szCs w:val="18"/>
      <w:lang w:eastAsia="ru-RU"/>
    </w:rPr>
  </w:style>
  <w:style w:type="character" w:styleId="a5">
    <w:name w:val="Strong"/>
    <w:basedOn w:val="a0"/>
    <w:uiPriority w:val="22"/>
    <w:qFormat/>
    <w:rsid w:val="004F6620"/>
    <w:rPr>
      <w:b/>
      <w:bCs/>
    </w:rPr>
  </w:style>
  <w:style w:type="character" w:customStyle="1" w:styleId="docaccesstitle">
    <w:name w:val="docaccess_title"/>
    <w:basedOn w:val="a0"/>
    <w:rsid w:val="004F6620"/>
  </w:style>
  <w:style w:type="paragraph" w:styleId="a6">
    <w:name w:val="Balloon Text"/>
    <w:basedOn w:val="a"/>
    <w:link w:val="a7"/>
    <w:uiPriority w:val="99"/>
    <w:semiHidden/>
    <w:unhideWhenUsed/>
    <w:rsid w:val="009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5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511E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 Narrow" w:eastAsia="Times New Roman" w:hAnsi="Arial Narrow" w:cs="Times New Roman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11E4"/>
    <w:rPr>
      <w:rFonts w:ascii="Arial Narrow" w:eastAsia="Times New Roman" w:hAnsi="Arial Narrow" w:cs="Times New Roman"/>
      <w:szCs w:val="18"/>
      <w:lang w:eastAsia="ru-RU"/>
    </w:rPr>
  </w:style>
  <w:style w:type="character" w:styleId="a5">
    <w:name w:val="Strong"/>
    <w:basedOn w:val="a0"/>
    <w:uiPriority w:val="22"/>
    <w:qFormat/>
    <w:rsid w:val="004F6620"/>
    <w:rPr>
      <w:b/>
      <w:bCs/>
    </w:rPr>
  </w:style>
  <w:style w:type="character" w:customStyle="1" w:styleId="docaccesstitle">
    <w:name w:val="docaccess_title"/>
    <w:basedOn w:val="a0"/>
    <w:rsid w:val="004F6620"/>
  </w:style>
  <w:style w:type="paragraph" w:styleId="a6">
    <w:name w:val="Balloon Text"/>
    <w:basedOn w:val="a"/>
    <w:link w:val="a7"/>
    <w:uiPriority w:val="99"/>
    <w:semiHidden/>
    <w:unhideWhenUsed/>
    <w:rsid w:val="009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evorobei.ru/aforizm/aforizm_13_1.s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arm@ceut38.ru" TargetMode="External"/><Relationship Id="rId7" Type="http://schemas.openxmlformats.org/officeDocument/2006/relationships/hyperlink" Target="http://www.slovonevorobei.ru/aforizm/aforizm_48_1.s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1B3F-C66F-4CC8-A73E-8F8F972E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Соболева</dc:creator>
  <cp:lastModifiedBy>Тугаринова НВ</cp:lastModifiedBy>
  <cp:revision>3</cp:revision>
  <cp:lastPrinted>2016-06-09T08:40:00Z</cp:lastPrinted>
  <dcterms:created xsi:type="dcterms:W3CDTF">2016-07-21T06:25:00Z</dcterms:created>
  <dcterms:modified xsi:type="dcterms:W3CDTF">2016-07-25T05:20:00Z</dcterms:modified>
</cp:coreProperties>
</file>